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48B2F" w14:textId="77777777" w:rsidR="00951A71" w:rsidRPr="003B4E3F" w:rsidRDefault="00951A71" w:rsidP="00E275AD">
      <w:pPr>
        <w:widowControl/>
        <w:autoSpaceDE/>
        <w:autoSpaceDN/>
        <w:adjustRightInd/>
        <w:jc w:val="left"/>
        <w:rPr>
          <w:rFonts w:cs="Arial"/>
          <w:bCs/>
        </w:rPr>
      </w:pPr>
      <w:bookmarkStart w:id="0" w:name="_GoBack"/>
      <w:bookmarkEnd w:id="0"/>
      <w:r w:rsidRPr="003B4E3F">
        <w:rPr>
          <w:rFonts w:cs="Arial"/>
          <w:sz w:val="20"/>
        </w:rPr>
        <w:t xml:space="preserve">   </w:t>
      </w:r>
      <w:r w:rsidR="006A3B73">
        <w:rPr>
          <w:rFonts w:cs="Arial"/>
          <w:sz w:val="20"/>
        </w:rPr>
        <w:t xml:space="preserve"> </w:t>
      </w:r>
      <w:r w:rsidR="00CE4AC6" w:rsidRPr="003B4E3F">
        <w:rPr>
          <w:rFonts w:cs="Arial"/>
          <w:sz w:val="20"/>
        </w:rPr>
        <w:t xml:space="preserve">        </w:t>
      </w:r>
      <w:r w:rsidRPr="003B4E3F">
        <w:rPr>
          <w:rFonts w:cs="Arial"/>
          <w:sz w:val="20"/>
        </w:rPr>
        <w:t xml:space="preserve">      </w:t>
      </w:r>
      <w:r w:rsidRPr="003B4E3F">
        <w:rPr>
          <w:rFonts w:cs="Arial"/>
          <w:noProof/>
          <w:sz w:val="20"/>
        </w:rPr>
        <w:drawing>
          <wp:inline distT="0" distB="0" distL="0" distR="0" wp14:anchorId="77BB5170" wp14:editId="68302A20">
            <wp:extent cx="466725" cy="800100"/>
            <wp:effectExtent l="0" t="0" r="9525" b="0"/>
            <wp:docPr id="1"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
                    <pic:cNvPicPr>
                      <a:picLocks noChangeArrowheads="1"/>
                    </pic:cNvPicPr>
                  </pic:nvPicPr>
                  <pic:blipFill>
                    <a:blip r:embed="rId8" cstate="print">
                      <a:extLst>
                        <a:ext uri="{28A0092B-C50C-407E-A947-70E740481C1C}">
                          <a14:useLocalDpi xmlns:a14="http://schemas.microsoft.com/office/drawing/2010/main" val="0"/>
                        </a:ext>
                      </a:extLst>
                    </a:blip>
                    <a:srcRect l="-4411" t="-20859" r="-4411" b="-20859"/>
                    <a:stretch>
                      <a:fillRect/>
                    </a:stretch>
                  </pic:blipFill>
                  <pic:spPr bwMode="auto">
                    <a:xfrm>
                      <a:off x="0" y="0"/>
                      <a:ext cx="466725" cy="800100"/>
                    </a:xfrm>
                    <a:prstGeom prst="rect">
                      <a:avLst/>
                    </a:prstGeom>
                    <a:noFill/>
                    <a:ln>
                      <a:noFill/>
                    </a:ln>
                  </pic:spPr>
                </pic:pic>
              </a:graphicData>
            </a:graphic>
          </wp:inline>
        </w:drawing>
      </w:r>
    </w:p>
    <w:p w14:paraId="2C9C662A" w14:textId="77777777" w:rsidR="00951A71" w:rsidRPr="003B4E3F" w:rsidRDefault="00951A71" w:rsidP="00E275AD">
      <w:pPr>
        <w:widowControl/>
        <w:autoSpaceDE/>
        <w:autoSpaceDN/>
        <w:adjustRightInd/>
        <w:jc w:val="left"/>
        <w:rPr>
          <w:rFonts w:cs="Arial"/>
          <w:bCs/>
        </w:rPr>
      </w:pPr>
      <w:r w:rsidRPr="003B4E3F">
        <w:rPr>
          <w:rFonts w:cs="Arial"/>
          <w:bCs/>
        </w:rPr>
        <w:t>REPUBLIKA HRVATSKA</w:t>
      </w:r>
    </w:p>
    <w:p w14:paraId="070815CE" w14:textId="77777777" w:rsidR="00951A71" w:rsidRPr="003B4E3F" w:rsidRDefault="00951A71" w:rsidP="00E275AD">
      <w:pPr>
        <w:widowControl/>
        <w:pBdr>
          <w:bottom w:val="single" w:sz="4" w:space="1" w:color="auto"/>
        </w:pBdr>
        <w:autoSpaceDE/>
        <w:autoSpaceDN/>
        <w:adjustRightInd/>
        <w:rPr>
          <w:rFonts w:cs="Arial"/>
          <w:bCs/>
          <w:szCs w:val="20"/>
        </w:rPr>
      </w:pPr>
      <w:r w:rsidRPr="003B4E3F">
        <w:rPr>
          <w:rFonts w:cs="Arial"/>
          <w:bCs/>
          <w:szCs w:val="20"/>
        </w:rPr>
        <w:t>DRŽAVNI URED ZA REVIZIJU</w:t>
      </w:r>
    </w:p>
    <w:p w14:paraId="5C392A52" w14:textId="77777777" w:rsidR="00A475FB" w:rsidRPr="00D30C95" w:rsidRDefault="00A475FB" w:rsidP="00E275AD">
      <w:pPr>
        <w:tabs>
          <w:tab w:val="left" w:pos="284"/>
          <w:tab w:val="left" w:pos="567"/>
          <w:tab w:val="left" w:pos="851"/>
        </w:tabs>
      </w:pPr>
      <w:r w:rsidRPr="00D30C95">
        <w:t>KLASA: 0</w:t>
      </w:r>
      <w:r w:rsidR="00DF1F60" w:rsidRPr="00D30C95">
        <w:t>08</w:t>
      </w:r>
      <w:r w:rsidRPr="00D30C95">
        <w:t>-01/</w:t>
      </w:r>
      <w:r w:rsidR="00D30C95" w:rsidRPr="00D30C95">
        <w:t>26</w:t>
      </w:r>
      <w:r w:rsidRPr="00D30C95">
        <w:t>-0</w:t>
      </w:r>
      <w:r w:rsidR="00B96D52" w:rsidRPr="00D30C95">
        <w:t>4</w:t>
      </w:r>
      <w:r w:rsidR="00D30C95" w:rsidRPr="00D30C95">
        <w:t>/3</w:t>
      </w:r>
    </w:p>
    <w:p w14:paraId="18196542" w14:textId="77777777" w:rsidR="00A475FB" w:rsidRPr="003B4E3F" w:rsidRDefault="00A475FB" w:rsidP="00E275AD">
      <w:pPr>
        <w:tabs>
          <w:tab w:val="left" w:pos="284"/>
          <w:tab w:val="left" w:pos="567"/>
          <w:tab w:val="left" w:pos="851"/>
        </w:tabs>
      </w:pPr>
      <w:r w:rsidRPr="00D30C95">
        <w:t>URBROJ: 613-01-10-2</w:t>
      </w:r>
      <w:r w:rsidR="00D30C95" w:rsidRPr="00D30C95">
        <w:t>6</w:t>
      </w:r>
      <w:r w:rsidRPr="00D30C95">
        <w:t>-</w:t>
      </w:r>
      <w:r w:rsidR="00CB7A3C">
        <w:t>2</w:t>
      </w:r>
    </w:p>
    <w:p w14:paraId="214E43CF" w14:textId="77777777" w:rsidR="00A475FB" w:rsidRPr="003B4E3F" w:rsidRDefault="00A475FB" w:rsidP="00E275AD">
      <w:pPr>
        <w:tabs>
          <w:tab w:val="left" w:pos="284"/>
          <w:tab w:val="left" w:pos="567"/>
          <w:tab w:val="left" w:pos="851"/>
        </w:tabs>
      </w:pPr>
    </w:p>
    <w:p w14:paraId="528C23D4" w14:textId="77777777" w:rsidR="00A475FB" w:rsidRPr="003B4E3F" w:rsidRDefault="00A475FB" w:rsidP="00E275AD">
      <w:pPr>
        <w:tabs>
          <w:tab w:val="left" w:pos="284"/>
          <w:tab w:val="left" w:pos="567"/>
          <w:tab w:val="left" w:pos="851"/>
        </w:tabs>
      </w:pPr>
      <w:r w:rsidRPr="003B4E3F">
        <w:t xml:space="preserve">Zagreb, </w:t>
      </w:r>
      <w:r w:rsidR="005440FA">
        <w:t>31</w:t>
      </w:r>
      <w:r w:rsidRPr="003B4E3F">
        <w:t>. ožujka 202</w:t>
      </w:r>
      <w:r w:rsidR="00B955A5">
        <w:t>6</w:t>
      </w:r>
      <w:r w:rsidRPr="003B4E3F">
        <w:t>.</w:t>
      </w:r>
    </w:p>
    <w:p w14:paraId="65476EBB" w14:textId="77777777" w:rsidR="00A475FB" w:rsidRPr="003B4E3F" w:rsidRDefault="00A475FB" w:rsidP="00E275AD">
      <w:pPr>
        <w:tabs>
          <w:tab w:val="left" w:pos="284"/>
          <w:tab w:val="left" w:pos="567"/>
          <w:tab w:val="left" w:pos="851"/>
        </w:tabs>
      </w:pPr>
    </w:p>
    <w:p w14:paraId="006FD94C" w14:textId="77777777" w:rsidR="0030749A" w:rsidRPr="003B4E3F" w:rsidRDefault="0030749A" w:rsidP="00E275AD"/>
    <w:p w14:paraId="5DEFF886" w14:textId="77777777" w:rsidR="00951A71" w:rsidRPr="003B4E3F" w:rsidRDefault="0030749A" w:rsidP="00E275AD">
      <w:r w:rsidRPr="003B4E3F">
        <w:tab/>
      </w:r>
      <w:r w:rsidRPr="003B4E3F">
        <w:tab/>
      </w:r>
      <w:r w:rsidRPr="003B4E3F">
        <w:tab/>
      </w:r>
      <w:r w:rsidRPr="003B4E3F">
        <w:tab/>
      </w:r>
      <w:r w:rsidRPr="003B4E3F">
        <w:tab/>
      </w:r>
      <w:r w:rsidR="00951A71" w:rsidRPr="003B4E3F">
        <w:tab/>
      </w:r>
      <w:r w:rsidR="00951A71" w:rsidRPr="003B4E3F">
        <w:tab/>
      </w:r>
      <w:r w:rsidR="00951A71" w:rsidRPr="003B4E3F">
        <w:tab/>
      </w:r>
      <w:r w:rsidR="00951A71" w:rsidRPr="003B4E3F">
        <w:tab/>
      </w:r>
      <w:r w:rsidR="00951A71" w:rsidRPr="003B4E3F">
        <w:tab/>
      </w:r>
      <w:r w:rsidR="001C2236" w:rsidRPr="003B4E3F">
        <w:t>–</w:t>
      </w:r>
      <w:r w:rsidR="00951A71" w:rsidRPr="003B4E3F">
        <w:t xml:space="preserve"> za objavu, odmah </w:t>
      </w:r>
      <w:r w:rsidR="001C2236" w:rsidRPr="003B4E3F">
        <w:t>–</w:t>
      </w:r>
    </w:p>
    <w:p w14:paraId="5A1E0432" w14:textId="77777777" w:rsidR="00951A71" w:rsidRPr="003B4E3F" w:rsidRDefault="00951A71" w:rsidP="00E275AD"/>
    <w:p w14:paraId="4C93DD76" w14:textId="77777777" w:rsidR="0030749A" w:rsidRPr="003B4E3F" w:rsidRDefault="0030749A" w:rsidP="00E275AD"/>
    <w:p w14:paraId="5FA3D5E7" w14:textId="77777777" w:rsidR="00951A71" w:rsidRDefault="00A87482" w:rsidP="00E275AD">
      <w:pPr>
        <w:jc w:val="center"/>
      </w:pPr>
      <w:r w:rsidRPr="003B4E3F">
        <w:t>PRIOPĆENJE ZA MEDIJE</w:t>
      </w:r>
    </w:p>
    <w:p w14:paraId="2B51D72F" w14:textId="77777777" w:rsidR="00AD2B34" w:rsidRDefault="00AD2B34" w:rsidP="00E275AD">
      <w:pPr>
        <w:jc w:val="center"/>
      </w:pPr>
    </w:p>
    <w:p w14:paraId="7DB8FEDC" w14:textId="77777777" w:rsidR="00AD2B34" w:rsidRPr="003B4E3F" w:rsidRDefault="00AD2B34" w:rsidP="00E275AD">
      <w:pPr>
        <w:shd w:val="clear" w:color="auto" w:fill="D9D9D9" w:themeFill="background1" w:themeFillShade="D9"/>
        <w:tabs>
          <w:tab w:val="left" w:pos="284"/>
          <w:tab w:val="left" w:pos="567"/>
          <w:tab w:val="left" w:pos="851"/>
        </w:tabs>
        <w:ind w:firstLine="567"/>
        <w:rPr>
          <w:b/>
        </w:rPr>
      </w:pPr>
      <w:r>
        <w:rPr>
          <w:b/>
        </w:rPr>
        <w:tab/>
      </w:r>
      <w:r>
        <w:rPr>
          <w:b/>
        </w:rPr>
        <w:tab/>
      </w:r>
      <w:r>
        <w:rPr>
          <w:b/>
        </w:rPr>
        <w:tab/>
        <w:t>DOSTAVA IZVJEŠĆA HRVATSKOM SABORU</w:t>
      </w:r>
    </w:p>
    <w:p w14:paraId="3D16477E" w14:textId="77777777" w:rsidR="00951A71" w:rsidRPr="003B4E3F" w:rsidRDefault="00951A71" w:rsidP="00E275AD">
      <w:pPr>
        <w:jc w:val="center"/>
      </w:pPr>
    </w:p>
    <w:p w14:paraId="1AC17322" w14:textId="77777777" w:rsidR="00951A71" w:rsidRPr="003B4E3F" w:rsidRDefault="00951A71" w:rsidP="00E275AD"/>
    <w:p w14:paraId="0A6AA856" w14:textId="2F970624" w:rsidR="009829EA" w:rsidRPr="003B4E3F" w:rsidRDefault="00951A71" w:rsidP="00E275AD">
      <w:pPr>
        <w:tabs>
          <w:tab w:val="left" w:pos="567"/>
        </w:tabs>
        <w:rPr>
          <w:b/>
        </w:rPr>
      </w:pPr>
      <w:r w:rsidRPr="003B4E3F">
        <w:t xml:space="preserve">Državni ured za reviziju </w:t>
      </w:r>
      <w:r w:rsidR="00EE4F46" w:rsidRPr="003B4E3F">
        <w:t xml:space="preserve">(dalje u tekstu: Ured) </w:t>
      </w:r>
      <w:r w:rsidR="00964431">
        <w:t>31</w:t>
      </w:r>
      <w:r w:rsidR="00310DC0" w:rsidRPr="003B4E3F">
        <w:t xml:space="preserve">. </w:t>
      </w:r>
      <w:r w:rsidR="00D1646C" w:rsidRPr="003B4E3F">
        <w:t xml:space="preserve">ožujka </w:t>
      </w:r>
      <w:r w:rsidRPr="003B4E3F">
        <w:t>20</w:t>
      </w:r>
      <w:r w:rsidR="00D1646C" w:rsidRPr="003B4E3F">
        <w:t>2</w:t>
      </w:r>
      <w:r w:rsidR="00B955A5">
        <w:t>6</w:t>
      </w:r>
      <w:r w:rsidRPr="003B4E3F">
        <w:t>. dostavio</w:t>
      </w:r>
      <w:r w:rsidR="00044AE2">
        <w:t xml:space="preserve"> je</w:t>
      </w:r>
      <w:r w:rsidRPr="003B4E3F">
        <w:t xml:space="preserve"> </w:t>
      </w:r>
      <w:r w:rsidRPr="003B4E3F">
        <w:rPr>
          <w:b/>
        </w:rPr>
        <w:t>Hrvatskom saboru</w:t>
      </w:r>
      <w:r w:rsidR="00310DC0" w:rsidRPr="003B4E3F">
        <w:t>:</w:t>
      </w:r>
    </w:p>
    <w:p w14:paraId="38C89B92" w14:textId="77777777" w:rsidR="00310DC0" w:rsidRPr="00964431" w:rsidRDefault="00310DC0" w:rsidP="00E275AD">
      <w:pPr>
        <w:tabs>
          <w:tab w:val="left" w:pos="567"/>
        </w:tabs>
        <w:rPr>
          <w:rFonts w:cs="Arial"/>
          <w:b/>
        </w:rPr>
      </w:pPr>
    </w:p>
    <w:p w14:paraId="03050FF4" w14:textId="77777777" w:rsidR="00964431" w:rsidRPr="00964431" w:rsidRDefault="00964431" w:rsidP="00E275AD">
      <w:pPr>
        <w:pStyle w:val="Odlomakpopisa"/>
        <w:numPr>
          <w:ilvl w:val="0"/>
          <w:numId w:val="4"/>
        </w:numPr>
        <w:tabs>
          <w:tab w:val="left" w:pos="0"/>
          <w:tab w:val="left" w:pos="567"/>
        </w:tabs>
        <w:spacing w:line="240" w:lineRule="auto"/>
        <w:ind w:left="567" w:hanging="567"/>
        <w:jc w:val="both"/>
        <w:rPr>
          <w:rFonts w:ascii="Arial" w:hAnsi="Arial" w:cs="Arial"/>
          <w:b/>
          <w:sz w:val="24"/>
          <w:szCs w:val="24"/>
        </w:rPr>
      </w:pPr>
      <w:r w:rsidRPr="00964431">
        <w:rPr>
          <w:rFonts w:ascii="Arial" w:hAnsi="Arial" w:cs="Arial"/>
          <w:b/>
          <w:sz w:val="24"/>
          <w:szCs w:val="24"/>
        </w:rPr>
        <w:t>Izvješće o radu</w:t>
      </w:r>
      <w:r w:rsidRPr="00964431">
        <w:rPr>
          <w:rFonts w:ascii="Arial" w:hAnsi="Arial" w:cs="Arial"/>
          <w:sz w:val="24"/>
          <w:szCs w:val="24"/>
        </w:rPr>
        <w:t xml:space="preserve"> </w:t>
      </w:r>
      <w:r w:rsidR="00B955A5">
        <w:rPr>
          <w:rFonts w:ascii="Arial" w:hAnsi="Arial" w:cs="Arial"/>
          <w:b/>
          <w:sz w:val="24"/>
          <w:szCs w:val="24"/>
        </w:rPr>
        <w:t>Državnog ureda za reviziju za 2025</w:t>
      </w:r>
      <w:r w:rsidRPr="00964431">
        <w:rPr>
          <w:rFonts w:ascii="Arial" w:hAnsi="Arial" w:cs="Arial"/>
          <w:b/>
          <w:sz w:val="24"/>
          <w:szCs w:val="24"/>
        </w:rPr>
        <w:t>.</w:t>
      </w:r>
    </w:p>
    <w:p w14:paraId="7441A3EF" w14:textId="77239E91" w:rsidR="00964431" w:rsidRPr="00964431" w:rsidRDefault="00964431" w:rsidP="00E275AD">
      <w:pPr>
        <w:pStyle w:val="Odlomakpopisa"/>
        <w:numPr>
          <w:ilvl w:val="0"/>
          <w:numId w:val="3"/>
        </w:numPr>
        <w:tabs>
          <w:tab w:val="left" w:pos="0"/>
          <w:tab w:val="left" w:pos="567"/>
        </w:tabs>
        <w:spacing w:line="240" w:lineRule="auto"/>
        <w:ind w:left="567" w:hanging="567"/>
        <w:jc w:val="both"/>
        <w:rPr>
          <w:rFonts w:ascii="Arial" w:hAnsi="Arial" w:cs="Arial"/>
          <w:sz w:val="24"/>
          <w:szCs w:val="24"/>
        </w:rPr>
      </w:pPr>
      <w:r w:rsidRPr="00964431">
        <w:rPr>
          <w:rFonts w:ascii="Arial" w:hAnsi="Arial" w:cs="Arial"/>
          <w:b/>
          <w:sz w:val="24"/>
          <w:szCs w:val="24"/>
        </w:rPr>
        <w:t xml:space="preserve">Objedinjeno izvješće </w:t>
      </w:r>
      <w:r w:rsidRPr="00964431">
        <w:rPr>
          <w:rFonts w:ascii="Arial" w:hAnsi="Arial" w:cs="Arial"/>
          <w:sz w:val="24"/>
          <w:szCs w:val="24"/>
        </w:rPr>
        <w:t>o obavljenim financijskim revizijama</w:t>
      </w:r>
      <w:r w:rsidR="00B955A5">
        <w:rPr>
          <w:rFonts w:ascii="Arial" w:hAnsi="Arial" w:cs="Arial"/>
          <w:b/>
          <w:sz w:val="24"/>
          <w:szCs w:val="24"/>
        </w:rPr>
        <w:t xml:space="preserve"> korisnika državnog proračuna</w:t>
      </w:r>
      <w:r w:rsidRPr="00964431">
        <w:rPr>
          <w:rFonts w:ascii="Arial" w:hAnsi="Arial" w:cs="Arial"/>
          <w:b/>
          <w:sz w:val="24"/>
          <w:szCs w:val="24"/>
        </w:rPr>
        <w:t>,</w:t>
      </w:r>
      <w:r w:rsidR="009A36F4">
        <w:rPr>
          <w:rFonts w:ascii="Arial" w:hAnsi="Arial" w:cs="Arial"/>
          <w:sz w:val="24"/>
          <w:szCs w:val="24"/>
        </w:rPr>
        <w:t xml:space="preserve"> u čijem je</w:t>
      </w:r>
      <w:r w:rsidR="00B955A5">
        <w:rPr>
          <w:rFonts w:ascii="Arial" w:hAnsi="Arial" w:cs="Arial"/>
          <w:sz w:val="24"/>
          <w:szCs w:val="24"/>
        </w:rPr>
        <w:t xml:space="preserve"> prilogu 14 pojedinačnih</w:t>
      </w:r>
      <w:r w:rsidRPr="00964431">
        <w:rPr>
          <w:rFonts w:ascii="Arial" w:hAnsi="Arial" w:cs="Arial"/>
          <w:sz w:val="24"/>
          <w:szCs w:val="24"/>
        </w:rPr>
        <w:t xml:space="preserve"> izvješća</w:t>
      </w:r>
    </w:p>
    <w:p w14:paraId="153AECAF" w14:textId="7DB40CD8" w:rsidR="00964431" w:rsidRDefault="00964431" w:rsidP="00E275AD">
      <w:pPr>
        <w:pStyle w:val="Odlomakpopisa"/>
        <w:numPr>
          <w:ilvl w:val="0"/>
          <w:numId w:val="3"/>
        </w:numPr>
        <w:tabs>
          <w:tab w:val="left" w:pos="0"/>
          <w:tab w:val="left" w:pos="567"/>
        </w:tabs>
        <w:spacing w:line="240" w:lineRule="auto"/>
        <w:ind w:left="567" w:hanging="567"/>
        <w:jc w:val="both"/>
        <w:rPr>
          <w:rFonts w:ascii="Arial" w:hAnsi="Arial" w:cs="Arial"/>
          <w:sz w:val="24"/>
          <w:szCs w:val="24"/>
        </w:rPr>
      </w:pPr>
      <w:r w:rsidRPr="00964431">
        <w:rPr>
          <w:rFonts w:ascii="Arial" w:hAnsi="Arial" w:cs="Arial"/>
          <w:b/>
          <w:sz w:val="24"/>
          <w:szCs w:val="24"/>
        </w:rPr>
        <w:t xml:space="preserve">Objedinjeno izvješće </w:t>
      </w:r>
      <w:r w:rsidRPr="00964431">
        <w:rPr>
          <w:rFonts w:ascii="Arial" w:hAnsi="Arial" w:cs="Arial"/>
          <w:sz w:val="24"/>
          <w:szCs w:val="24"/>
        </w:rPr>
        <w:t>o obavljenim financijskim revizijama</w:t>
      </w:r>
      <w:r w:rsidR="00B955A5">
        <w:rPr>
          <w:rFonts w:ascii="Arial" w:hAnsi="Arial" w:cs="Arial"/>
          <w:b/>
          <w:sz w:val="24"/>
          <w:szCs w:val="24"/>
        </w:rPr>
        <w:t xml:space="preserve"> </w:t>
      </w:r>
      <w:r w:rsidR="001D0594">
        <w:rPr>
          <w:rFonts w:ascii="Arial" w:hAnsi="Arial" w:cs="Arial"/>
          <w:b/>
          <w:sz w:val="24"/>
          <w:szCs w:val="24"/>
        </w:rPr>
        <w:t>lokalnih jedinica</w:t>
      </w:r>
      <w:r w:rsidRPr="00964431">
        <w:rPr>
          <w:rFonts w:ascii="Arial" w:hAnsi="Arial" w:cs="Arial"/>
          <w:b/>
          <w:sz w:val="24"/>
          <w:szCs w:val="24"/>
        </w:rPr>
        <w:t>,</w:t>
      </w:r>
      <w:r w:rsidR="00752331">
        <w:rPr>
          <w:rFonts w:ascii="Arial" w:hAnsi="Arial" w:cs="Arial"/>
          <w:sz w:val="24"/>
          <w:szCs w:val="24"/>
        </w:rPr>
        <w:t xml:space="preserve"> u čijem je</w:t>
      </w:r>
      <w:r w:rsidR="00B955A5">
        <w:rPr>
          <w:rFonts w:ascii="Arial" w:hAnsi="Arial" w:cs="Arial"/>
          <w:sz w:val="24"/>
          <w:szCs w:val="24"/>
        </w:rPr>
        <w:t xml:space="preserve"> prilogu 46</w:t>
      </w:r>
      <w:r w:rsidRPr="00964431">
        <w:rPr>
          <w:rFonts w:ascii="Arial" w:hAnsi="Arial" w:cs="Arial"/>
          <w:sz w:val="24"/>
          <w:szCs w:val="24"/>
        </w:rPr>
        <w:t xml:space="preserve"> pojedinačnih izvješća</w:t>
      </w:r>
    </w:p>
    <w:p w14:paraId="1096AC80" w14:textId="01F42BCE" w:rsidR="00C03159" w:rsidRDefault="003E5AC9" w:rsidP="00E275AD">
      <w:pPr>
        <w:pStyle w:val="Odlomakpopisa"/>
        <w:numPr>
          <w:ilvl w:val="0"/>
          <w:numId w:val="3"/>
        </w:numPr>
        <w:tabs>
          <w:tab w:val="left" w:pos="0"/>
          <w:tab w:val="left" w:pos="567"/>
        </w:tabs>
        <w:spacing w:line="240" w:lineRule="auto"/>
        <w:ind w:left="567" w:hanging="567"/>
        <w:jc w:val="both"/>
        <w:rPr>
          <w:rFonts w:ascii="Arial" w:hAnsi="Arial" w:cs="Arial"/>
          <w:sz w:val="24"/>
          <w:szCs w:val="24"/>
        </w:rPr>
      </w:pPr>
      <w:r w:rsidRPr="00964431">
        <w:rPr>
          <w:rFonts w:ascii="Arial" w:hAnsi="Arial" w:cs="Arial"/>
          <w:b/>
          <w:sz w:val="24"/>
          <w:szCs w:val="24"/>
        </w:rPr>
        <w:t xml:space="preserve">Objedinjeno izvješće </w:t>
      </w:r>
      <w:r w:rsidRPr="00964431">
        <w:rPr>
          <w:rFonts w:ascii="Arial" w:hAnsi="Arial" w:cs="Arial"/>
          <w:sz w:val="24"/>
          <w:szCs w:val="24"/>
        </w:rPr>
        <w:t xml:space="preserve">o </w:t>
      </w:r>
      <w:r w:rsidR="00B955A5">
        <w:rPr>
          <w:rFonts w:ascii="Arial" w:hAnsi="Arial" w:cs="Arial"/>
          <w:sz w:val="24"/>
          <w:szCs w:val="24"/>
        </w:rPr>
        <w:t xml:space="preserve">obavljenim financijskim revizijama </w:t>
      </w:r>
      <w:r w:rsidR="00B955A5">
        <w:rPr>
          <w:rFonts w:ascii="Arial" w:hAnsi="Arial" w:cs="Arial"/>
          <w:b/>
          <w:sz w:val="24"/>
          <w:szCs w:val="24"/>
        </w:rPr>
        <w:t xml:space="preserve">trgovačkih društava u vlasništvu </w:t>
      </w:r>
      <w:r w:rsidR="008424EB">
        <w:rPr>
          <w:rFonts w:ascii="Arial" w:hAnsi="Arial" w:cs="Arial"/>
          <w:b/>
          <w:sz w:val="24"/>
          <w:szCs w:val="24"/>
        </w:rPr>
        <w:t>lokalnih jedinica</w:t>
      </w:r>
      <w:r w:rsidR="00752331">
        <w:rPr>
          <w:rFonts w:ascii="Arial" w:hAnsi="Arial" w:cs="Arial"/>
          <w:sz w:val="24"/>
          <w:szCs w:val="24"/>
        </w:rPr>
        <w:t>, u čijem su</w:t>
      </w:r>
      <w:r w:rsidR="00B955A5">
        <w:rPr>
          <w:rFonts w:ascii="Arial" w:hAnsi="Arial" w:cs="Arial"/>
          <w:sz w:val="24"/>
          <w:szCs w:val="24"/>
        </w:rPr>
        <w:t xml:space="preserve"> prilogu 24</w:t>
      </w:r>
      <w:r w:rsidR="00752331">
        <w:rPr>
          <w:rFonts w:ascii="Arial" w:hAnsi="Arial" w:cs="Arial"/>
          <w:sz w:val="24"/>
          <w:szCs w:val="24"/>
        </w:rPr>
        <w:t xml:space="preserve"> pojedinačna</w:t>
      </w:r>
      <w:r w:rsidRPr="00964431">
        <w:rPr>
          <w:rFonts w:ascii="Arial" w:hAnsi="Arial" w:cs="Arial"/>
          <w:sz w:val="24"/>
          <w:szCs w:val="24"/>
        </w:rPr>
        <w:t xml:space="preserve"> izvješća</w:t>
      </w:r>
    </w:p>
    <w:p w14:paraId="7F646371" w14:textId="6D1B2FAE" w:rsidR="00C03159" w:rsidRDefault="00C03159" w:rsidP="00E275AD">
      <w:pPr>
        <w:pStyle w:val="Odlomakpopisa"/>
        <w:numPr>
          <w:ilvl w:val="0"/>
          <w:numId w:val="3"/>
        </w:numPr>
        <w:tabs>
          <w:tab w:val="left" w:pos="0"/>
          <w:tab w:val="left" w:pos="567"/>
        </w:tabs>
        <w:spacing w:line="240" w:lineRule="auto"/>
        <w:ind w:left="567" w:hanging="567"/>
        <w:jc w:val="both"/>
        <w:rPr>
          <w:rFonts w:ascii="Arial" w:hAnsi="Arial" w:cs="Arial"/>
          <w:sz w:val="24"/>
          <w:szCs w:val="24"/>
        </w:rPr>
      </w:pPr>
      <w:r>
        <w:rPr>
          <w:rFonts w:ascii="Arial" w:hAnsi="Arial" w:cs="Arial"/>
          <w:b/>
          <w:sz w:val="24"/>
          <w:szCs w:val="24"/>
        </w:rPr>
        <w:t xml:space="preserve">Objedinjeno izvješće </w:t>
      </w:r>
      <w:r w:rsidR="001D0594">
        <w:rPr>
          <w:rFonts w:ascii="Arial" w:hAnsi="Arial" w:cs="Arial"/>
          <w:sz w:val="24"/>
          <w:szCs w:val="24"/>
        </w:rPr>
        <w:t>o obavljenoj reviziji</w:t>
      </w:r>
      <w:r w:rsidRPr="00C03159">
        <w:rPr>
          <w:rFonts w:ascii="Arial" w:hAnsi="Arial" w:cs="Arial"/>
          <w:sz w:val="24"/>
          <w:szCs w:val="24"/>
        </w:rPr>
        <w:t xml:space="preserve"> učinkovitosti</w:t>
      </w:r>
      <w:r>
        <w:rPr>
          <w:rFonts w:ascii="Arial" w:hAnsi="Arial" w:cs="Arial"/>
          <w:b/>
          <w:sz w:val="24"/>
          <w:szCs w:val="24"/>
        </w:rPr>
        <w:t xml:space="preserve"> upravljanja </w:t>
      </w:r>
      <w:r w:rsidR="001D0594">
        <w:rPr>
          <w:rFonts w:ascii="Arial" w:hAnsi="Arial" w:cs="Arial"/>
          <w:b/>
          <w:sz w:val="24"/>
          <w:szCs w:val="24"/>
        </w:rPr>
        <w:t xml:space="preserve">i raspolaganja </w:t>
      </w:r>
      <w:r>
        <w:rPr>
          <w:rFonts w:ascii="Arial" w:hAnsi="Arial" w:cs="Arial"/>
          <w:b/>
          <w:sz w:val="24"/>
          <w:szCs w:val="24"/>
        </w:rPr>
        <w:t xml:space="preserve">poslovnim prostorima, </w:t>
      </w:r>
      <w:r w:rsidR="003A5A49">
        <w:rPr>
          <w:rFonts w:ascii="Arial" w:hAnsi="Arial" w:cs="Arial"/>
          <w:sz w:val="24"/>
          <w:szCs w:val="24"/>
        </w:rPr>
        <w:t>u čijem su</w:t>
      </w:r>
      <w:r>
        <w:rPr>
          <w:rFonts w:ascii="Arial" w:hAnsi="Arial" w:cs="Arial"/>
          <w:sz w:val="24"/>
          <w:szCs w:val="24"/>
        </w:rPr>
        <w:t xml:space="preserve"> prilogu 23</w:t>
      </w:r>
      <w:r w:rsidR="003A5A49">
        <w:rPr>
          <w:rFonts w:ascii="Arial" w:hAnsi="Arial" w:cs="Arial"/>
          <w:sz w:val="24"/>
          <w:szCs w:val="24"/>
        </w:rPr>
        <w:t xml:space="preserve"> pojedinačna</w:t>
      </w:r>
      <w:r w:rsidRPr="00964431">
        <w:rPr>
          <w:rFonts w:ascii="Arial" w:hAnsi="Arial" w:cs="Arial"/>
          <w:sz w:val="24"/>
          <w:szCs w:val="24"/>
        </w:rPr>
        <w:t xml:space="preserve"> izvješća</w:t>
      </w:r>
    </w:p>
    <w:p w14:paraId="4947E80D" w14:textId="77777777" w:rsidR="00C03159" w:rsidRDefault="00C03159" w:rsidP="00E275AD">
      <w:pPr>
        <w:pStyle w:val="Odlomakpopisa"/>
        <w:numPr>
          <w:ilvl w:val="0"/>
          <w:numId w:val="3"/>
        </w:numPr>
        <w:tabs>
          <w:tab w:val="left" w:pos="0"/>
          <w:tab w:val="left" w:pos="567"/>
        </w:tabs>
        <w:spacing w:line="240" w:lineRule="auto"/>
        <w:ind w:left="567" w:hanging="567"/>
        <w:jc w:val="both"/>
        <w:rPr>
          <w:rFonts w:ascii="Arial" w:hAnsi="Arial" w:cs="Arial"/>
          <w:b/>
          <w:sz w:val="24"/>
          <w:szCs w:val="24"/>
        </w:rPr>
      </w:pPr>
      <w:r w:rsidRPr="00C03159">
        <w:rPr>
          <w:rFonts w:ascii="Arial" w:hAnsi="Arial" w:cs="Arial"/>
          <w:sz w:val="24"/>
          <w:szCs w:val="24"/>
        </w:rPr>
        <w:t xml:space="preserve">Izvješće o obavljenoj reviziji učinkovitosti </w:t>
      </w:r>
      <w:r w:rsidRPr="00C03159">
        <w:rPr>
          <w:rFonts w:ascii="Arial" w:hAnsi="Arial" w:cs="Arial"/>
          <w:b/>
          <w:sz w:val="24"/>
          <w:szCs w:val="24"/>
        </w:rPr>
        <w:t xml:space="preserve">Dodjela i korištenje potpora iz Europskog poljoprivrednog fonda za ruralni razvoj u Republici Hrvatskoj </w:t>
      </w:r>
    </w:p>
    <w:p w14:paraId="669E1A41" w14:textId="7B550F43" w:rsidR="00C03159" w:rsidRDefault="00C03159" w:rsidP="00E275AD">
      <w:pPr>
        <w:pStyle w:val="Odlomakpopisa"/>
        <w:numPr>
          <w:ilvl w:val="0"/>
          <w:numId w:val="3"/>
        </w:numPr>
        <w:tabs>
          <w:tab w:val="left" w:pos="0"/>
          <w:tab w:val="left" w:pos="567"/>
        </w:tabs>
        <w:spacing w:line="240" w:lineRule="auto"/>
        <w:ind w:left="567" w:hanging="567"/>
        <w:jc w:val="both"/>
        <w:rPr>
          <w:rFonts w:ascii="Arial" w:hAnsi="Arial" w:cs="Arial"/>
          <w:b/>
          <w:sz w:val="24"/>
          <w:szCs w:val="24"/>
        </w:rPr>
      </w:pPr>
      <w:r w:rsidRPr="00C03159">
        <w:rPr>
          <w:rFonts w:ascii="Arial" w:hAnsi="Arial" w:cs="Arial"/>
          <w:b/>
          <w:sz w:val="24"/>
          <w:szCs w:val="24"/>
        </w:rPr>
        <w:t>Objedinjeno izvješće</w:t>
      </w:r>
      <w:r w:rsidRPr="00C03159">
        <w:rPr>
          <w:rFonts w:ascii="Arial" w:hAnsi="Arial" w:cs="Arial"/>
          <w:sz w:val="24"/>
          <w:szCs w:val="24"/>
        </w:rPr>
        <w:t xml:space="preserve"> o obavljenoj provjeri provedbe naloga i preporuka danih </w:t>
      </w:r>
      <w:r w:rsidRPr="00C03159">
        <w:rPr>
          <w:rFonts w:ascii="Arial" w:hAnsi="Arial" w:cs="Arial"/>
          <w:b/>
          <w:sz w:val="24"/>
          <w:szCs w:val="24"/>
        </w:rPr>
        <w:t>u financijskim revizijama i revizijama učinkovitosti</w:t>
      </w:r>
      <w:r w:rsidR="00085E29">
        <w:rPr>
          <w:rFonts w:ascii="Arial" w:hAnsi="Arial" w:cs="Arial"/>
          <w:sz w:val="24"/>
          <w:szCs w:val="24"/>
        </w:rPr>
        <w:t>, u čijem je prilogu 38</w:t>
      </w:r>
      <w:r w:rsidRPr="00C03159">
        <w:rPr>
          <w:rFonts w:ascii="Arial" w:hAnsi="Arial" w:cs="Arial"/>
          <w:sz w:val="24"/>
          <w:szCs w:val="24"/>
        </w:rPr>
        <w:t xml:space="preserve"> pojedinačnih izvješća</w:t>
      </w:r>
    </w:p>
    <w:p w14:paraId="5A622027" w14:textId="0F07DA59" w:rsidR="00C03159" w:rsidRDefault="00C03159" w:rsidP="00E275AD">
      <w:pPr>
        <w:pStyle w:val="Odlomakpopisa"/>
        <w:numPr>
          <w:ilvl w:val="0"/>
          <w:numId w:val="3"/>
        </w:numPr>
        <w:tabs>
          <w:tab w:val="left" w:pos="0"/>
          <w:tab w:val="left" w:pos="567"/>
        </w:tabs>
        <w:spacing w:line="240" w:lineRule="auto"/>
        <w:ind w:left="567" w:hanging="567"/>
        <w:jc w:val="both"/>
        <w:rPr>
          <w:rFonts w:ascii="Arial" w:hAnsi="Arial" w:cs="Arial"/>
          <w:b/>
          <w:sz w:val="24"/>
          <w:szCs w:val="24"/>
        </w:rPr>
      </w:pPr>
      <w:r w:rsidRPr="00C03159">
        <w:rPr>
          <w:rFonts w:ascii="Arial" w:hAnsi="Arial" w:cs="Arial"/>
          <w:b/>
          <w:sz w:val="24"/>
          <w:szCs w:val="24"/>
        </w:rPr>
        <w:t>13 izvješća o obavljenoj financijskoj reviziji</w:t>
      </w:r>
      <w:r w:rsidRPr="00C03159">
        <w:rPr>
          <w:rFonts w:ascii="Arial" w:hAnsi="Arial" w:cs="Arial"/>
          <w:sz w:val="24"/>
          <w:szCs w:val="24"/>
        </w:rPr>
        <w:t xml:space="preserve">, i to za: </w:t>
      </w:r>
      <w:r w:rsidRPr="00C03159">
        <w:rPr>
          <w:rFonts w:ascii="Arial" w:hAnsi="Arial" w:cs="Arial"/>
          <w:b/>
          <w:sz w:val="24"/>
          <w:szCs w:val="24"/>
        </w:rPr>
        <w:t>devet proračunskih korisnika JLP(R)S</w:t>
      </w:r>
      <w:r w:rsidR="003A5A49">
        <w:rPr>
          <w:rFonts w:ascii="Arial" w:hAnsi="Arial" w:cs="Arial"/>
          <w:sz w:val="24"/>
          <w:szCs w:val="24"/>
        </w:rPr>
        <w:t xml:space="preserve"> – Dječji vrtić Bambi, Nijemci;</w:t>
      </w:r>
      <w:r w:rsidRPr="00C03159">
        <w:rPr>
          <w:rFonts w:ascii="Arial" w:hAnsi="Arial" w:cs="Arial"/>
          <w:sz w:val="24"/>
          <w:szCs w:val="24"/>
        </w:rPr>
        <w:t xml:space="preserve"> </w:t>
      </w:r>
      <w:r w:rsidR="003A5A49">
        <w:rPr>
          <w:rFonts w:ascii="Arial" w:hAnsi="Arial" w:cs="Arial"/>
          <w:sz w:val="24"/>
          <w:szCs w:val="24"/>
        </w:rPr>
        <w:t>Ekonomska i upravna škola Split;</w:t>
      </w:r>
      <w:r w:rsidRPr="00C03159">
        <w:rPr>
          <w:rFonts w:ascii="Arial" w:hAnsi="Arial" w:cs="Arial"/>
          <w:sz w:val="24"/>
          <w:szCs w:val="24"/>
        </w:rPr>
        <w:t xml:space="preserve"> Osnovna škola fra Kaje Adžića</w:t>
      </w:r>
      <w:r w:rsidR="003A5A49">
        <w:rPr>
          <w:rFonts w:ascii="Arial" w:hAnsi="Arial" w:cs="Arial"/>
          <w:sz w:val="24"/>
          <w:szCs w:val="24"/>
        </w:rPr>
        <w:t xml:space="preserve"> Pleternica;</w:t>
      </w:r>
      <w:r w:rsidRPr="00C03159">
        <w:rPr>
          <w:rFonts w:ascii="Arial" w:hAnsi="Arial" w:cs="Arial"/>
          <w:sz w:val="24"/>
          <w:szCs w:val="24"/>
        </w:rPr>
        <w:t xml:space="preserve"> Osn</w:t>
      </w:r>
      <w:r w:rsidR="003A5A49">
        <w:rPr>
          <w:rFonts w:ascii="Arial" w:hAnsi="Arial" w:cs="Arial"/>
          <w:sz w:val="24"/>
          <w:szCs w:val="24"/>
        </w:rPr>
        <w:t>ovna škola Matije Gupca, Zagreb;</w:t>
      </w:r>
      <w:r w:rsidRPr="00C03159">
        <w:rPr>
          <w:rFonts w:ascii="Arial" w:hAnsi="Arial" w:cs="Arial"/>
          <w:sz w:val="24"/>
          <w:szCs w:val="24"/>
        </w:rPr>
        <w:t xml:space="preserve"> </w:t>
      </w:r>
      <w:r w:rsidR="00BD69BE" w:rsidRPr="00C03159">
        <w:rPr>
          <w:rFonts w:ascii="Arial" w:hAnsi="Arial" w:cs="Arial"/>
          <w:sz w:val="24"/>
          <w:szCs w:val="24"/>
        </w:rPr>
        <w:t>Poljoprivred</w:t>
      </w:r>
      <w:r w:rsidR="003A5A49">
        <w:rPr>
          <w:rFonts w:ascii="Arial" w:hAnsi="Arial" w:cs="Arial"/>
          <w:sz w:val="24"/>
          <w:szCs w:val="24"/>
        </w:rPr>
        <w:t>n</w:t>
      </w:r>
      <w:r w:rsidR="00BD69BE" w:rsidRPr="00C03159">
        <w:rPr>
          <w:rFonts w:ascii="Arial" w:hAnsi="Arial" w:cs="Arial"/>
          <w:sz w:val="24"/>
          <w:szCs w:val="24"/>
        </w:rPr>
        <w:t>o-prehrambena škola, Požega</w:t>
      </w:r>
      <w:r w:rsidR="003A5A49">
        <w:rPr>
          <w:rFonts w:ascii="Arial" w:hAnsi="Arial" w:cs="Arial"/>
          <w:sz w:val="24"/>
          <w:szCs w:val="24"/>
        </w:rPr>
        <w:t>;</w:t>
      </w:r>
      <w:r w:rsidR="00BD69BE" w:rsidRPr="00C03159">
        <w:rPr>
          <w:rFonts w:ascii="Arial" w:hAnsi="Arial" w:cs="Arial"/>
          <w:sz w:val="24"/>
          <w:szCs w:val="24"/>
        </w:rPr>
        <w:t xml:space="preserve"> </w:t>
      </w:r>
      <w:r w:rsidRPr="00C03159">
        <w:rPr>
          <w:rFonts w:ascii="Arial" w:hAnsi="Arial" w:cs="Arial"/>
          <w:sz w:val="24"/>
          <w:szCs w:val="24"/>
        </w:rPr>
        <w:t>Poljopri</w:t>
      </w:r>
      <w:r w:rsidR="003A5A49">
        <w:rPr>
          <w:rFonts w:ascii="Arial" w:hAnsi="Arial" w:cs="Arial"/>
          <w:sz w:val="24"/>
          <w:szCs w:val="24"/>
        </w:rPr>
        <w:t>vredno šumarska škola, Vinkovci; Srednja škola Oroslavje;</w:t>
      </w:r>
      <w:r w:rsidRPr="00C03159">
        <w:rPr>
          <w:rFonts w:ascii="Arial" w:hAnsi="Arial" w:cs="Arial"/>
          <w:sz w:val="24"/>
          <w:szCs w:val="24"/>
        </w:rPr>
        <w:t xml:space="preserve"> Škola za turizam, ugostiteljstvo i trgovinu, Pula i Tehnička škola Zagreb te </w:t>
      </w:r>
      <w:r w:rsidRPr="00C03159">
        <w:rPr>
          <w:rFonts w:ascii="Arial" w:hAnsi="Arial" w:cs="Arial"/>
          <w:b/>
          <w:sz w:val="24"/>
          <w:szCs w:val="24"/>
        </w:rPr>
        <w:t>četiri neprofitne organizacije</w:t>
      </w:r>
      <w:r w:rsidRPr="00C03159">
        <w:rPr>
          <w:rFonts w:ascii="Arial" w:hAnsi="Arial" w:cs="Arial"/>
          <w:sz w:val="24"/>
          <w:szCs w:val="24"/>
        </w:rPr>
        <w:t xml:space="preserve"> – Hrvatski Crveni križ – Gradsko društvo Crvenog križa Pakrac, Sportska zajednica grada Poreča, Sportska </w:t>
      </w:r>
      <w:r w:rsidR="003A5A49">
        <w:rPr>
          <w:rFonts w:ascii="Arial" w:hAnsi="Arial" w:cs="Arial"/>
          <w:sz w:val="24"/>
          <w:szCs w:val="24"/>
        </w:rPr>
        <w:t xml:space="preserve">zajednica Grada Rovinja-Rovigno – </w:t>
      </w:r>
      <w:r w:rsidRPr="00C03159">
        <w:rPr>
          <w:rFonts w:ascii="Arial" w:hAnsi="Arial" w:cs="Arial"/>
          <w:sz w:val="24"/>
          <w:szCs w:val="24"/>
        </w:rPr>
        <w:t>Un</w:t>
      </w:r>
      <w:r w:rsidR="003A5A49">
        <w:rPr>
          <w:rFonts w:ascii="Arial" w:hAnsi="Arial" w:cs="Arial"/>
          <w:sz w:val="24"/>
          <w:szCs w:val="24"/>
        </w:rPr>
        <w:t xml:space="preserve">ione sportiva della Città </w:t>
      </w:r>
      <w:r w:rsidR="003F6E53">
        <w:rPr>
          <w:rFonts w:ascii="Arial" w:hAnsi="Arial" w:cs="Arial"/>
          <w:sz w:val="24"/>
          <w:szCs w:val="24"/>
        </w:rPr>
        <w:t xml:space="preserve">di </w:t>
      </w:r>
      <w:r w:rsidRPr="00C03159">
        <w:rPr>
          <w:rFonts w:ascii="Arial" w:hAnsi="Arial" w:cs="Arial"/>
          <w:sz w:val="24"/>
          <w:szCs w:val="24"/>
        </w:rPr>
        <w:t>Rovinj-Rovigno i Županijska lučka uprava Opatija-Lovran-Mošćenička Draga</w:t>
      </w:r>
    </w:p>
    <w:p w14:paraId="017871A2" w14:textId="77777777" w:rsidR="00C03159" w:rsidRPr="00E0066C" w:rsidRDefault="00C03159" w:rsidP="00E275AD">
      <w:pPr>
        <w:pStyle w:val="Odlomakpopisa"/>
        <w:numPr>
          <w:ilvl w:val="0"/>
          <w:numId w:val="3"/>
        </w:numPr>
        <w:tabs>
          <w:tab w:val="left" w:pos="0"/>
          <w:tab w:val="left" w:pos="567"/>
        </w:tabs>
        <w:spacing w:line="240" w:lineRule="auto"/>
        <w:ind w:left="567" w:hanging="567"/>
        <w:jc w:val="both"/>
        <w:rPr>
          <w:rFonts w:ascii="Arial" w:hAnsi="Arial" w:cs="Arial"/>
          <w:b/>
          <w:sz w:val="24"/>
          <w:szCs w:val="24"/>
        </w:rPr>
      </w:pPr>
      <w:r w:rsidRPr="00C03159">
        <w:rPr>
          <w:rFonts w:ascii="Arial" w:hAnsi="Arial" w:cs="Arial"/>
          <w:sz w:val="24"/>
          <w:szCs w:val="24"/>
        </w:rPr>
        <w:t xml:space="preserve">te </w:t>
      </w:r>
      <w:r w:rsidRPr="003F6E53">
        <w:rPr>
          <w:rFonts w:ascii="Arial" w:hAnsi="Arial" w:cs="Arial"/>
          <w:b/>
          <w:sz w:val="24"/>
          <w:szCs w:val="24"/>
        </w:rPr>
        <w:t>četiri izvješća o obavljenoj reviziji usklađenosti</w:t>
      </w:r>
      <w:r w:rsidRPr="00C03159">
        <w:rPr>
          <w:rFonts w:ascii="Arial" w:hAnsi="Arial" w:cs="Arial"/>
          <w:sz w:val="24"/>
          <w:szCs w:val="24"/>
        </w:rPr>
        <w:t>, i to za: Hrvatsku agenciju za nadzor financijskih usluga, Državne nekretnine d.o.o., Hrvatsku lutriju d.o.o. i GSKG d.o.o., Zagreb.</w:t>
      </w:r>
    </w:p>
    <w:p w14:paraId="04ABF1D4" w14:textId="77777777" w:rsidR="00E0066C" w:rsidRPr="00C03159" w:rsidRDefault="00E0066C" w:rsidP="00E275AD">
      <w:pPr>
        <w:pStyle w:val="Odlomakpopisa"/>
        <w:tabs>
          <w:tab w:val="left" w:pos="0"/>
          <w:tab w:val="left" w:pos="567"/>
        </w:tabs>
        <w:spacing w:line="240" w:lineRule="auto"/>
        <w:ind w:left="567"/>
        <w:jc w:val="both"/>
        <w:rPr>
          <w:rFonts w:ascii="Arial" w:hAnsi="Arial" w:cs="Arial"/>
          <w:b/>
          <w:sz w:val="24"/>
          <w:szCs w:val="24"/>
        </w:rPr>
      </w:pPr>
    </w:p>
    <w:p w14:paraId="5368F84E" w14:textId="3A86D299" w:rsidR="006C7599" w:rsidRPr="004B7932" w:rsidRDefault="00931031" w:rsidP="00E275AD">
      <w:pPr>
        <w:tabs>
          <w:tab w:val="left" w:pos="0"/>
          <w:tab w:val="left" w:pos="567"/>
          <w:tab w:val="left" w:pos="851"/>
        </w:tabs>
        <w:rPr>
          <w:rFonts w:cs="Arial"/>
          <w:b/>
        </w:rPr>
      </w:pPr>
      <w:r>
        <w:rPr>
          <w:rFonts w:cs="Arial"/>
        </w:rPr>
        <w:lastRenderedPageBreak/>
        <w:t xml:space="preserve">Nadalje, </w:t>
      </w:r>
      <w:r w:rsidR="000058AD" w:rsidRPr="003B4E3F">
        <w:rPr>
          <w:rFonts w:cs="Arial"/>
          <w:b/>
        </w:rPr>
        <w:t>Državnom</w:t>
      </w:r>
      <w:r w:rsidR="000058AD">
        <w:rPr>
          <w:rFonts w:cs="Arial"/>
          <w:b/>
        </w:rPr>
        <w:t xml:space="preserve"> odvjetništvu Republike Hrvatske</w:t>
      </w:r>
      <w:r w:rsidR="00746DF6">
        <w:rPr>
          <w:rFonts w:cs="Arial"/>
          <w:b/>
        </w:rPr>
        <w:t xml:space="preserve"> </w:t>
      </w:r>
      <w:r w:rsidR="00746DF6" w:rsidRPr="00746DF6">
        <w:rPr>
          <w:rFonts w:cs="Arial"/>
        </w:rPr>
        <w:t>danas su</w:t>
      </w:r>
      <w:r w:rsidR="000058AD">
        <w:rPr>
          <w:rFonts w:cs="Arial"/>
        </w:rPr>
        <w:t xml:space="preserve"> dostavljena</w:t>
      </w:r>
      <w:r w:rsidR="007F099B" w:rsidRPr="003B4E3F">
        <w:rPr>
          <w:rFonts w:cs="Arial"/>
        </w:rPr>
        <w:t xml:space="preserve"> </w:t>
      </w:r>
      <w:r w:rsidR="000058AD" w:rsidRPr="000058AD">
        <w:rPr>
          <w:rFonts w:cs="Arial"/>
          <w:b/>
        </w:rPr>
        <w:t>103 pojedinačna izvješća</w:t>
      </w:r>
      <w:r w:rsidR="000058AD">
        <w:rPr>
          <w:rFonts w:cs="Arial"/>
        </w:rPr>
        <w:t xml:space="preserve"> o obavljenim revizijama i obavljenim provjerama provedbe naloga i preporuka koja su prema odredbama Zakona o Državnom uredu za reviziju </w:t>
      </w:r>
      <w:r w:rsidR="000058AD" w:rsidRPr="001E410A">
        <w:t>(Narodne novine 25/19)</w:t>
      </w:r>
      <w:r w:rsidR="000058AD">
        <w:t xml:space="preserve"> </w:t>
      </w:r>
      <w:r w:rsidR="000058AD">
        <w:rPr>
          <w:rFonts w:cs="Arial"/>
        </w:rPr>
        <w:t xml:space="preserve">postala konačna nakon </w:t>
      </w:r>
      <w:r w:rsidR="00AA29E7">
        <w:rPr>
          <w:rFonts w:cs="Arial"/>
        </w:rPr>
        <w:t>posljednje dostave izvješća Saboru i DORH-u, 23. prosi</w:t>
      </w:r>
      <w:r w:rsidR="00F352FD">
        <w:rPr>
          <w:rFonts w:cs="Arial"/>
        </w:rPr>
        <w:t xml:space="preserve">nca 2025. Od </w:t>
      </w:r>
      <w:r w:rsidR="00AA29E7">
        <w:rPr>
          <w:rFonts w:cs="Arial"/>
        </w:rPr>
        <w:t xml:space="preserve">103 izvješća, kod tri subjekta financijske revizije </w:t>
      </w:r>
      <w:r w:rsidR="00AA29E7" w:rsidRPr="001E410A">
        <w:t xml:space="preserve">izražena </w:t>
      </w:r>
      <w:r w:rsidR="00AA29E7">
        <w:t xml:space="preserve">su </w:t>
      </w:r>
      <w:r w:rsidR="00AA29E7" w:rsidRPr="004B7932">
        <w:t>nepovoljna mišljenja o financijskim izvještajima</w:t>
      </w:r>
      <w:r w:rsidR="00AA29E7">
        <w:rPr>
          <w:rFonts w:cs="Arial"/>
        </w:rPr>
        <w:t xml:space="preserve"> </w:t>
      </w:r>
      <w:r w:rsidR="00B556B3">
        <w:rPr>
          <w:b/>
        </w:rPr>
        <w:t>(Općina Povljana, Osnovna škola Matije Gupca, Zagreb i</w:t>
      </w:r>
      <w:r w:rsidR="00AA29E7" w:rsidRPr="004B7932">
        <w:rPr>
          <w:b/>
        </w:rPr>
        <w:t xml:space="preserve"> Komunalno društvo Kutjevo d.o.o.)</w:t>
      </w:r>
      <w:r w:rsidR="00AA29E7">
        <w:rPr>
          <w:b/>
        </w:rPr>
        <w:t xml:space="preserve"> </w:t>
      </w:r>
      <w:r w:rsidR="00AA29E7" w:rsidRPr="00766A4F">
        <w:t>te je DORH-u</w:t>
      </w:r>
      <w:r w:rsidR="006610DD" w:rsidRPr="00766A4F">
        <w:t xml:space="preserve"> dostavljena</w:t>
      </w:r>
      <w:r w:rsidR="006610DD" w:rsidRPr="001E410A">
        <w:t xml:space="preserve"> i cjelokupna dokumentacija prikupljena tijekom</w:t>
      </w:r>
      <w:r w:rsidR="006610DD">
        <w:t xml:space="preserve"> </w:t>
      </w:r>
      <w:r w:rsidR="00AA29E7">
        <w:t>ove tri</w:t>
      </w:r>
      <w:r w:rsidR="006610DD">
        <w:t xml:space="preserve"> </w:t>
      </w:r>
      <w:r w:rsidR="00AA29E7">
        <w:t>revizije.</w:t>
      </w:r>
    </w:p>
    <w:p w14:paraId="7D0AA6B3" w14:textId="77777777" w:rsidR="006C7599" w:rsidRPr="006C7599" w:rsidRDefault="006C7599" w:rsidP="00E275AD">
      <w:pPr>
        <w:tabs>
          <w:tab w:val="left" w:pos="0"/>
          <w:tab w:val="left" w:pos="567"/>
          <w:tab w:val="left" w:pos="851"/>
        </w:tabs>
        <w:rPr>
          <w:b/>
        </w:rPr>
      </w:pPr>
      <w:r>
        <w:t>Osim</w:t>
      </w:r>
      <w:r w:rsidR="00766A4F">
        <w:t xml:space="preserve"> navedenih</w:t>
      </w:r>
      <w:r>
        <w:t xml:space="preserve"> izvješća</w:t>
      </w:r>
      <w:r w:rsidR="009C2F6C" w:rsidRPr="001E410A">
        <w:t>,</w:t>
      </w:r>
      <w:r w:rsidR="00F10BD6" w:rsidRPr="001E410A">
        <w:t xml:space="preserve"> </w:t>
      </w:r>
      <w:r w:rsidR="003A6CF2" w:rsidRPr="001E410A">
        <w:t>u skladu s odredbama članka 23. Zak</w:t>
      </w:r>
      <w:r>
        <w:t xml:space="preserve">ona o Državnom uredu za reviziju, </w:t>
      </w:r>
      <w:r w:rsidR="00F10BD6" w:rsidRPr="000058AD">
        <w:t xml:space="preserve">DORH-u </w:t>
      </w:r>
      <w:r>
        <w:t xml:space="preserve">su </w:t>
      </w:r>
      <w:r w:rsidR="009C2F6C" w:rsidRPr="000058AD">
        <w:t xml:space="preserve">dostavljene obavijesti </w:t>
      </w:r>
      <w:r w:rsidR="00DD7784" w:rsidRPr="000058AD">
        <w:t xml:space="preserve">za </w:t>
      </w:r>
      <w:r w:rsidR="001E410A" w:rsidRPr="006C7599">
        <w:rPr>
          <w:b/>
        </w:rPr>
        <w:t>25</w:t>
      </w:r>
      <w:r w:rsidR="004C236A" w:rsidRPr="006C7599">
        <w:rPr>
          <w:b/>
        </w:rPr>
        <w:t xml:space="preserve"> subjek</w:t>
      </w:r>
      <w:r w:rsidR="000058AD" w:rsidRPr="006C7599">
        <w:rPr>
          <w:b/>
        </w:rPr>
        <w:t>a</w:t>
      </w:r>
      <w:r w:rsidR="004C236A" w:rsidRPr="006C7599">
        <w:rPr>
          <w:b/>
        </w:rPr>
        <w:t xml:space="preserve">ta </w:t>
      </w:r>
      <w:r w:rsidR="000058AD" w:rsidRPr="006C7599">
        <w:rPr>
          <w:b/>
        </w:rPr>
        <w:t>koji</w:t>
      </w:r>
      <w:r w:rsidR="00964431" w:rsidRPr="006C7599">
        <w:rPr>
          <w:b/>
        </w:rPr>
        <w:t xml:space="preserve"> </w:t>
      </w:r>
      <w:r w:rsidR="001328A7" w:rsidRPr="006C7599">
        <w:rPr>
          <w:b/>
        </w:rPr>
        <w:t>nisu provel</w:t>
      </w:r>
      <w:r w:rsidR="000058AD" w:rsidRPr="006C7599">
        <w:rPr>
          <w:b/>
        </w:rPr>
        <w:t xml:space="preserve">i </w:t>
      </w:r>
      <w:r w:rsidR="001328A7" w:rsidRPr="006C7599">
        <w:rPr>
          <w:b/>
        </w:rPr>
        <w:t>naloge i preporuke</w:t>
      </w:r>
      <w:r w:rsidR="001328A7" w:rsidRPr="001E410A">
        <w:t xml:space="preserve"> dane u prošlim revizijama</w:t>
      </w:r>
      <w:r w:rsidR="000F6092" w:rsidRPr="001E410A">
        <w:t>,</w:t>
      </w:r>
      <w:r w:rsidR="001328A7" w:rsidRPr="001E410A">
        <w:t xml:space="preserve"> u rokovima i na način naveden u planu provedbe naloga i preporuka</w:t>
      </w:r>
      <w:r w:rsidR="004B1DC9">
        <w:t>.</w:t>
      </w:r>
    </w:p>
    <w:p w14:paraId="1CAA243B" w14:textId="77777777" w:rsidR="006610DD" w:rsidRDefault="006610DD" w:rsidP="00E275AD">
      <w:pPr>
        <w:tabs>
          <w:tab w:val="left" w:pos="0"/>
          <w:tab w:val="left" w:pos="567"/>
          <w:tab w:val="left" w:pos="851"/>
        </w:tabs>
      </w:pPr>
    </w:p>
    <w:p w14:paraId="463CA102" w14:textId="77777777" w:rsidR="00931031" w:rsidRDefault="004E24AC" w:rsidP="00E275AD">
      <w:pPr>
        <w:tabs>
          <w:tab w:val="left" w:pos="0"/>
          <w:tab w:val="left" w:pos="567"/>
          <w:tab w:val="left" w:pos="851"/>
        </w:tabs>
      </w:pPr>
      <w:r>
        <w:t>Sva o</w:t>
      </w:r>
      <w:r w:rsidR="006610DD">
        <w:t xml:space="preserve">bjedinjena i pojedinačna izvješća o obavljenim revizijama i obavljenim provjerama provedbe naloga i preporuka objavljena su na mrežnim stranicama Ureda, </w:t>
      </w:r>
      <w:hyperlink r:id="rId9" w:history="1">
        <w:r w:rsidR="006610DD" w:rsidRPr="00680BB0">
          <w:rPr>
            <w:rStyle w:val="Hiperveza"/>
          </w:rPr>
          <w:t>www.revizija.hr</w:t>
        </w:r>
      </w:hyperlink>
      <w:r w:rsidR="006610DD">
        <w:t>.</w:t>
      </w:r>
      <w:r w:rsidR="00931031">
        <w:t xml:space="preserve"> </w:t>
      </w:r>
    </w:p>
    <w:p w14:paraId="1EF99EB3" w14:textId="77777777" w:rsidR="00CC62AD" w:rsidRDefault="00CC62AD" w:rsidP="00E275AD">
      <w:pPr>
        <w:tabs>
          <w:tab w:val="left" w:pos="0"/>
          <w:tab w:val="left" w:pos="567"/>
          <w:tab w:val="left" w:pos="851"/>
        </w:tabs>
      </w:pPr>
    </w:p>
    <w:p w14:paraId="6949EBC0" w14:textId="77777777" w:rsidR="00CC62AD" w:rsidRDefault="00CC62AD" w:rsidP="00E275AD">
      <w:pPr>
        <w:kinsoku w:val="0"/>
        <w:overflowPunct w:val="0"/>
        <w:ind w:right="3"/>
        <w:rPr>
          <w:rFonts w:cs="Arial"/>
          <w:i/>
        </w:rPr>
      </w:pPr>
    </w:p>
    <w:p w14:paraId="53E623D4" w14:textId="7B7801A8" w:rsidR="00CC62AD" w:rsidRDefault="00CC62AD" w:rsidP="00E275AD">
      <w:pPr>
        <w:kinsoku w:val="0"/>
        <w:overflowPunct w:val="0"/>
        <w:ind w:right="3"/>
        <w:rPr>
          <w:rFonts w:cs="Arial"/>
          <w:b/>
          <w:i/>
          <w:color w:val="000000" w:themeColor="text1"/>
        </w:rPr>
      </w:pPr>
      <w:r w:rsidRPr="007053C0">
        <w:rPr>
          <w:rFonts w:cs="Arial"/>
          <w:b/>
          <w:i/>
          <w:color w:val="000000" w:themeColor="text1"/>
        </w:rPr>
        <w:t xml:space="preserve">U nastavku se daju </w:t>
      </w:r>
      <w:r w:rsidR="00F352FD">
        <w:rPr>
          <w:rFonts w:cs="Arial"/>
          <w:b/>
          <w:i/>
          <w:color w:val="000000" w:themeColor="text1"/>
        </w:rPr>
        <w:t xml:space="preserve">značajnije informacije u vezi s </w:t>
      </w:r>
      <w:r w:rsidR="00E21345">
        <w:rPr>
          <w:rFonts w:cs="Arial"/>
          <w:b/>
          <w:i/>
          <w:color w:val="000000" w:themeColor="text1"/>
        </w:rPr>
        <w:t>izvješć</w:t>
      </w:r>
      <w:r w:rsidR="00F352FD">
        <w:rPr>
          <w:rFonts w:cs="Arial"/>
          <w:b/>
          <w:i/>
          <w:color w:val="000000" w:themeColor="text1"/>
        </w:rPr>
        <w:t>ima</w:t>
      </w:r>
      <w:r w:rsidR="00E21345">
        <w:rPr>
          <w:rFonts w:cs="Arial"/>
          <w:b/>
          <w:i/>
          <w:color w:val="000000" w:themeColor="text1"/>
        </w:rPr>
        <w:t xml:space="preserve"> koja su danas dostavljena Hrvatskom saboru.</w:t>
      </w:r>
    </w:p>
    <w:p w14:paraId="3EF95841" w14:textId="77777777" w:rsidR="00A00E7C" w:rsidRDefault="00A00E7C" w:rsidP="00E275AD">
      <w:pPr>
        <w:kinsoku w:val="0"/>
        <w:overflowPunct w:val="0"/>
        <w:ind w:right="3"/>
        <w:rPr>
          <w:rFonts w:cs="Arial"/>
          <w:b/>
          <w:i/>
          <w:color w:val="000000" w:themeColor="text1"/>
        </w:rPr>
      </w:pPr>
    </w:p>
    <w:p w14:paraId="7EBB8017" w14:textId="14C239B8" w:rsidR="00A00E7C" w:rsidRPr="007053C0" w:rsidRDefault="00746DF6" w:rsidP="00E275AD">
      <w:pPr>
        <w:ind w:right="-1"/>
        <w:rPr>
          <w:rFonts w:cs="Arial"/>
          <w:b/>
          <w:i/>
          <w:color w:val="000000" w:themeColor="text1"/>
        </w:rPr>
      </w:pPr>
      <w:r>
        <w:rPr>
          <w:rFonts w:cs="Arial"/>
          <w:b/>
          <w:i/>
          <w:color w:val="000000" w:themeColor="text1"/>
        </w:rPr>
        <w:t>U prilogu ovog priopćenja je p</w:t>
      </w:r>
      <w:r w:rsidR="00A00E7C" w:rsidRPr="007053C0">
        <w:rPr>
          <w:rFonts w:cs="Arial"/>
          <w:b/>
          <w:i/>
          <w:color w:val="000000" w:themeColor="text1"/>
        </w:rPr>
        <w:t>opis</w:t>
      </w:r>
      <w:r w:rsidR="00A00E7C">
        <w:rPr>
          <w:rFonts w:cs="Arial"/>
          <w:b/>
          <w:i/>
          <w:color w:val="000000" w:themeColor="text1"/>
        </w:rPr>
        <w:t xml:space="preserve"> </w:t>
      </w:r>
      <w:r w:rsidR="00A00E7C" w:rsidRPr="007053C0">
        <w:rPr>
          <w:rFonts w:cs="Arial"/>
          <w:b/>
          <w:i/>
          <w:color w:val="000000" w:themeColor="text1"/>
        </w:rPr>
        <w:t xml:space="preserve">obavljenih revizija </w:t>
      </w:r>
      <w:r>
        <w:rPr>
          <w:rFonts w:cs="Arial"/>
          <w:b/>
          <w:i/>
          <w:color w:val="000000" w:themeColor="text1"/>
        </w:rPr>
        <w:t xml:space="preserve">sadržanih u Izvješću o radu </w:t>
      </w:r>
      <w:r w:rsidR="002A14A8">
        <w:rPr>
          <w:rFonts w:cs="Arial"/>
          <w:b/>
          <w:i/>
          <w:color w:val="000000" w:themeColor="text1"/>
        </w:rPr>
        <w:t>Državnog ureda za reviziju</w:t>
      </w:r>
      <w:r>
        <w:rPr>
          <w:rFonts w:cs="Arial"/>
          <w:b/>
          <w:i/>
          <w:color w:val="000000" w:themeColor="text1"/>
        </w:rPr>
        <w:t xml:space="preserve"> za 2025.</w:t>
      </w:r>
      <w:r w:rsidR="00A00E7C" w:rsidRPr="007053C0">
        <w:rPr>
          <w:rFonts w:cs="Arial"/>
          <w:b/>
          <w:i/>
          <w:color w:val="000000" w:themeColor="text1"/>
        </w:rPr>
        <w:t xml:space="preserve">, s izraženim </w:t>
      </w:r>
      <w:r w:rsidR="00A00E7C">
        <w:rPr>
          <w:rFonts w:cs="Arial"/>
          <w:b/>
          <w:i/>
          <w:color w:val="000000" w:themeColor="text1"/>
        </w:rPr>
        <w:t>mišljenjima i danim ocjenama</w:t>
      </w:r>
      <w:r>
        <w:rPr>
          <w:rFonts w:cs="Arial"/>
          <w:b/>
          <w:i/>
          <w:color w:val="000000" w:themeColor="text1"/>
        </w:rPr>
        <w:t xml:space="preserve"> subjektima revizije</w:t>
      </w:r>
      <w:r w:rsidR="00A00E7C" w:rsidRPr="007053C0">
        <w:rPr>
          <w:rFonts w:cs="Arial"/>
          <w:b/>
          <w:i/>
          <w:color w:val="000000" w:themeColor="text1"/>
        </w:rPr>
        <w:t>.</w:t>
      </w:r>
    </w:p>
    <w:p w14:paraId="7A2DE152" w14:textId="77777777" w:rsidR="00CC62AD" w:rsidRDefault="00CC62AD" w:rsidP="00E275AD">
      <w:pPr>
        <w:tabs>
          <w:tab w:val="left" w:pos="0"/>
          <w:tab w:val="left" w:pos="567"/>
          <w:tab w:val="left" w:pos="851"/>
        </w:tabs>
      </w:pPr>
    </w:p>
    <w:p w14:paraId="4D2A0771" w14:textId="77777777" w:rsidR="00AA29E7" w:rsidRPr="006C7599" w:rsidRDefault="00AA29E7" w:rsidP="00E275AD">
      <w:pPr>
        <w:tabs>
          <w:tab w:val="left" w:pos="0"/>
          <w:tab w:val="left" w:pos="567"/>
          <w:tab w:val="left" w:pos="851"/>
        </w:tabs>
      </w:pPr>
    </w:p>
    <w:p w14:paraId="606C4F3E" w14:textId="77777777" w:rsidR="008B502E" w:rsidRPr="003B4E3F" w:rsidRDefault="0058449E" w:rsidP="00E275AD">
      <w:pPr>
        <w:tabs>
          <w:tab w:val="left" w:pos="284"/>
          <w:tab w:val="left" w:pos="567"/>
          <w:tab w:val="left" w:pos="851"/>
        </w:tabs>
        <w:rPr>
          <w:b/>
        </w:rPr>
      </w:pPr>
      <w:r w:rsidRPr="003B4E3F">
        <w:tab/>
      </w:r>
      <w:r w:rsidRPr="003B4E3F">
        <w:tab/>
      </w:r>
      <w:r w:rsidR="00A475FB" w:rsidRPr="003B4E3F">
        <w:rPr>
          <w:b/>
        </w:rPr>
        <w:tab/>
      </w:r>
      <w:r w:rsidR="009C2F6C" w:rsidRPr="003B4E3F">
        <w:rPr>
          <w:b/>
        </w:rPr>
        <w:tab/>
      </w:r>
    </w:p>
    <w:p w14:paraId="3628EB85" w14:textId="77777777" w:rsidR="00CD6159" w:rsidRPr="003B4E3F" w:rsidRDefault="00AD2B34" w:rsidP="00E275AD">
      <w:pPr>
        <w:shd w:val="clear" w:color="auto" w:fill="D9D9D9" w:themeFill="background1" w:themeFillShade="D9"/>
        <w:tabs>
          <w:tab w:val="left" w:pos="284"/>
          <w:tab w:val="left" w:pos="567"/>
          <w:tab w:val="left" w:pos="851"/>
        </w:tabs>
        <w:rPr>
          <w:b/>
        </w:rPr>
      </w:pPr>
      <w:r>
        <w:rPr>
          <w:b/>
        </w:rPr>
        <w:t xml:space="preserve">I.  </w:t>
      </w:r>
      <w:r>
        <w:rPr>
          <w:b/>
        </w:rPr>
        <w:tab/>
      </w:r>
      <w:r>
        <w:rPr>
          <w:b/>
        </w:rPr>
        <w:tab/>
      </w:r>
      <w:r w:rsidR="00931031">
        <w:rPr>
          <w:b/>
        </w:rPr>
        <w:t>IZVJEŠĆE O RADU URE</w:t>
      </w:r>
      <w:r w:rsidR="00CD6159" w:rsidRPr="003B4E3F">
        <w:rPr>
          <w:b/>
        </w:rPr>
        <w:t>DA ZA 202</w:t>
      </w:r>
      <w:r w:rsidR="003F6E53">
        <w:rPr>
          <w:b/>
        </w:rPr>
        <w:t>5</w:t>
      </w:r>
      <w:r w:rsidR="00CD6159" w:rsidRPr="003B4E3F">
        <w:rPr>
          <w:b/>
        </w:rPr>
        <w:t>.</w:t>
      </w:r>
    </w:p>
    <w:p w14:paraId="5AE019AB" w14:textId="77777777" w:rsidR="00E0066C" w:rsidRDefault="00E0066C" w:rsidP="00E275AD">
      <w:pPr>
        <w:tabs>
          <w:tab w:val="left" w:pos="8504"/>
        </w:tabs>
        <w:kinsoku w:val="0"/>
        <w:overflowPunct w:val="0"/>
        <w:ind w:right="-1"/>
      </w:pPr>
    </w:p>
    <w:p w14:paraId="6245927B" w14:textId="77777777" w:rsidR="003F6E53" w:rsidRDefault="00D5105D" w:rsidP="00E275AD">
      <w:pPr>
        <w:tabs>
          <w:tab w:val="left" w:pos="8504"/>
        </w:tabs>
        <w:kinsoku w:val="0"/>
        <w:overflowPunct w:val="0"/>
        <w:ind w:right="-1"/>
        <w:rPr>
          <w:rFonts w:cs="Arial"/>
        </w:rPr>
      </w:pPr>
      <w:r>
        <w:rPr>
          <w:rFonts w:cs="Arial"/>
        </w:rPr>
        <w:t>U I</w:t>
      </w:r>
      <w:r w:rsidR="00CF6941" w:rsidRPr="004B7970">
        <w:rPr>
          <w:rFonts w:cs="Arial"/>
        </w:rPr>
        <w:t xml:space="preserve">zvješću </w:t>
      </w:r>
      <w:r w:rsidR="003F6E53">
        <w:rPr>
          <w:rFonts w:cs="Arial"/>
        </w:rPr>
        <w:t>o radu Ureda za 2025</w:t>
      </w:r>
      <w:r w:rsidR="005027B3">
        <w:rPr>
          <w:rFonts w:cs="Arial"/>
        </w:rPr>
        <w:t>. na</w:t>
      </w:r>
      <w:r w:rsidR="00CF6941" w:rsidRPr="00CF6941">
        <w:rPr>
          <w:rFonts w:cs="Arial"/>
        </w:rPr>
        <w:t xml:space="preserve">vedene </w:t>
      </w:r>
      <w:r w:rsidR="005027B3">
        <w:rPr>
          <w:rFonts w:cs="Arial"/>
        </w:rPr>
        <w:t xml:space="preserve">su </w:t>
      </w:r>
      <w:r w:rsidR="00CF6941" w:rsidRPr="00CF6941">
        <w:rPr>
          <w:rFonts w:cs="Arial"/>
        </w:rPr>
        <w:t>informacije o nadležnosti Ureda, postupcima revizije, izraženim mišljenjima i danim ocjenama, podaci o godišnjem programu i planu rada te podaci o obavljenim revizijama prema vrstama revizije, grupama subjekata i predmetu revizije, kao i o obavljenoj provjeri provedbe naloga i preporuka.</w:t>
      </w:r>
    </w:p>
    <w:p w14:paraId="22115EF6" w14:textId="77777777" w:rsidR="00E0066C" w:rsidRDefault="00E0066C" w:rsidP="00E275AD">
      <w:pPr>
        <w:tabs>
          <w:tab w:val="left" w:pos="0"/>
          <w:tab w:val="left" w:pos="8504"/>
        </w:tabs>
        <w:kinsoku w:val="0"/>
        <w:overflowPunct w:val="0"/>
        <w:ind w:right="-1"/>
        <w:rPr>
          <w:rFonts w:cs="Arial"/>
        </w:rPr>
      </w:pPr>
    </w:p>
    <w:p w14:paraId="0F74DAE3" w14:textId="77777777" w:rsidR="00CF6941" w:rsidRPr="00CF6941" w:rsidRDefault="00CF6941" w:rsidP="00E275AD">
      <w:pPr>
        <w:tabs>
          <w:tab w:val="left" w:pos="0"/>
          <w:tab w:val="left" w:pos="8504"/>
        </w:tabs>
        <w:kinsoku w:val="0"/>
        <w:overflowPunct w:val="0"/>
        <w:ind w:right="-1"/>
        <w:rPr>
          <w:rFonts w:cs="Arial"/>
        </w:rPr>
      </w:pPr>
      <w:r w:rsidRPr="00CF6941">
        <w:rPr>
          <w:rFonts w:cs="Arial"/>
        </w:rPr>
        <w:t>Izvješće, među ostalim, sadrži i informacije</w:t>
      </w:r>
      <w:r w:rsidRPr="00CF6941">
        <w:rPr>
          <w:rFonts w:cs="Arial"/>
          <w:spacing w:val="-9"/>
        </w:rPr>
        <w:t xml:space="preserve"> </w:t>
      </w:r>
      <w:r w:rsidRPr="00CF6941">
        <w:rPr>
          <w:rFonts w:cs="Arial"/>
        </w:rPr>
        <w:t>o</w:t>
      </w:r>
      <w:r w:rsidRPr="00CF6941">
        <w:rPr>
          <w:rFonts w:cs="Arial"/>
          <w:spacing w:val="-8"/>
        </w:rPr>
        <w:t xml:space="preserve"> </w:t>
      </w:r>
      <w:r w:rsidRPr="00CF6941">
        <w:rPr>
          <w:rFonts w:cs="Arial"/>
        </w:rPr>
        <w:t>drugim</w:t>
      </w:r>
      <w:r w:rsidRPr="00CF6941">
        <w:rPr>
          <w:rFonts w:cs="Arial"/>
          <w:spacing w:val="-9"/>
        </w:rPr>
        <w:t xml:space="preserve"> </w:t>
      </w:r>
      <w:r w:rsidRPr="00CF6941">
        <w:rPr>
          <w:rFonts w:cs="Arial"/>
        </w:rPr>
        <w:t>poslovima</w:t>
      </w:r>
      <w:r w:rsidRPr="00CF6941">
        <w:rPr>
          <w:rFonts w:cs="Arial"/>
          <w:spacing w:val="-9"/>
        </w:rPr>
        <w:t xml:space="preserve"> </w:t>
      </w:r>
      <w:r w:rsidRPr="00CF6941">
        <w:rPr>
          <w:rFonts w:cs="Arial"/>
        </w:rPr>
        <w:t>Ureda, aktivnostima iz Strateškog plana za razdoblje 2023. ‒ 2027., provedenim aktivnostima unutarnje revizije te ocjeni korisnika i subjekata revizije o kvaliteti rada Ured</w:t>
      </w:r>
      <w:r w:rsidR="00D5105D">
        <w:rPr>
          <w:rFonts w:cs="Arial"/>
        </w:rPr>
        <w:t xml:space="preserve">a. Osim toga, sastavni dio </w:t>
      </w:r>
      <w:r w:rsidRPr="00CF6941">
        <w:rPr>
          <w:rFonts w:cs="Arial"/>
        </w:rPr>
        <w:t>Izvješća je i Izvješće neovisnog revizora o reviziji Godišnjih financijskih izvještaja Ureda za</w:t>
      </w:r>
      <w:r w:rsidRPr="00CF6941">
        <w:rPr>
          <w:rFonts w:cs="Arial"/>
          <w:spacing w:val="-1"/>
        </w:rPr>
        <w:t xml:space="preserve"> </w:t>
      </w:r>
      <w:r w:rsidR="003F6E53">
        <w:rPr>
          <w:rFonts w:cs="Arial"/>
        </w:rPr>
        <w:t>2025</w:t>
      </w:r>
      <w:r w:rsidRPr="00CF6941">
        <w:rPr>
          <w:rFonts w:cs="Arial"/>
        </w:rPr>
        <w:t xml:space="preserve">. te Godišnji izvještaj o izvršenju </w:t>
      </w:r>
      <w:r w:rsidR="003F6E53">
        <w:rPr>
          <w:rFonts w:cs="Arial"/>
        </w:rPr>
        <w:t>financijskog plana Ureda za 2025</w:t>
      </w:r>
      <w:r w:rsidRPr="00CF6941">
        <w:rPr>
          <w:rFonts w:cs="Arial"/>
        </w:rPr>
        <w:t>.</w:t>
      </w:r>
    </w:p>
    <w:p w14:paraId="10FDEFF0" w14:textId="77777777" w:rsidR="00E0066C" w:rsidRDefault="00E0066C" w:rsidP="00E275AD">
      <w:pPr>
        <w:kinsoku w:val="0"/>
        <w:overflowPunct w:val="0"/>
        <w:spacing w:before="1"/>
        <w:textAlignment w:val="baseline"/>
      </w:pPr>
    </w:p>
    <w:p w14:paraId="78EA89E0" w14:textId="77777777" w:rsidR="00E45F4D" w:rsidRDefault="003F6E53" w:rsidP="00E275AD">
      <w:pPr>
        <w:kinsoku w:val="0"/>
        <w:overflowPunct w:val="0"/>
        <w:spacing w:before="1"/>
        <w:textAlignment w:val="baseline"/>
        <w:rPr>
          <w:b/>
        </w:rPr>
      </w:pPr>
      <w:r>
        <w:t>Tijekom 2025</w:t>
      </w:r>
      <w:r w:rsidR="00CF6941" w:rsidRPr="0015364B">
        <w:t xml:space="preserve">. Ured je planirao obaviti </w:t>
      </w:r>
      <w:r w:rsidR="00DF7D53">
        <w:rPr>
          <w:b/>
        </w:rPr>
        <w:t>250</w:t>
      </w:r>
      <w:r w:rsidR="00CF6941" w:rsidRPr="0015364B">
        <w:rPr>
          <w:b/>
        </w:rPr>
        <w:t xml:space="preserve"> revizija</w:t>
      </w:r>
      <w:r w:rsidR="00DF7D53">
        <w:t xml:space="preserve"> (od čega 204 financijske revizije, 39 revizija učinkovitosti i sedam revizija</w:t>
      </w:r>
      <w:r w:rsidR="00CF6941" w:rsidRPr="0015364B">
        <w:t xml:space="preserve"> usklađenosti) te </w:t>
      </w:r>
      <w:r w:rsidR="00DF7D53">
        <w:rPr>
          <w:b/>
        </w:rPr>
        <w:t>58</w:t>
      </w:r>
      <w:r w:rsidR="00CF6941" w:rsidRPr="0015364B">
        <w:rPr>
          <w:b/>
        </w:rPr>
        <w:t xml:space="preserve"> provjera provedbe naloga i preporuka</w:t>
      </w:r>
      <w:r w:rsidR="0018388D" w:rsidRPr="00E92699">
        <w:t>.</w:t>
      </w:r>
      <w:r w:rsidR="00E45F4D">
        <w:rPr>
          <w:b/>
        </w:rPr>
        <w:t xml:space="preserve"> </w:t>
      </w:r>
    </w:p>
    <w:p w14:paraId="58B83F59" w14:textId="77777777" w:rsidR="00E45F4D" w:rsidRDefault="00CF6941" w:rsidP="00E275AD">
      <w:pPr>
        <w:kinsoku w:val="0"/>
        <w:overflowPunct w:val="0"/>
        <w:spacing w:before="1"/>
        <w:textAlignment w:val="baseline"/>
        <w:rPr>
          <w:spacing w:val="-10"/>
        </w:rPr>
      </w:pPr>
      <w:r w:rsidRPr="0015364B">
        <w:t xml:space="preserve">Obavljena je </w:t>
      </w:r>
      <w:r w:rsidR="00DF7D53">
        <w:rPr>
          <w:b/>
        </w:rPr>
        <w:t>19</w:t>
      </w:r>
      <w:r w:rsidRPr="0015364B">
        <w:rPr>
          <w:b/>
        </w:rPr>
        <w:t>1 revizija</w:t>
      </w:r>
      <w:r w:rsidR="00DF7D53">
        <w:t xml:space="preserve"> (od čega 1</w:t>
      </w:r>
      <w:r w:rsidRPr="0015364B">
        <w:t>6</w:t>
      </w:r>
      <w:r w:rsidR="00DF7D53">
        <w:t>3 financijske revizije, 24 revizije učinkovitosti i četir</w:t>
      </w:r>
      <w:r w:rsidRPr="0015364B">
        <w:t>i revizije</w:t>
      </w:r>
      <w:r w:rsidRPr="004B7970">
        <w:rPr>
          <w:spacing w:val="-10"/>
        </w:rPr>
        <w:t xml:space="preserve"> usklađenosti</w:t>
      </w:r>
      <w:r w:rsidR="00DF7D53">
        <w:rPr>
          <w:spacing w:val="-10"/>
        </w:rPr>
        <w:t xml:space="preserve">, </w:t>
      </w:r>
      <w:r w:rsidR="00DF7D53" w:rsidRPr="00DF7D53">
        <w:rPr>
          <w:spacing w:val="-10"/>
        </w:rPr>
        <w:t>kojima su obuhvaćena 193 subjekta revizije</w:t>
      </w:r>
      <w:r w:rsidRPr="004B7970">
        <w:rPr>
          <w:spacing w:val="-10"/>
        </w:rPr>
        <w:t xml:space="preserve">) </w:t>
      </w:r>
      <w:r w:rsidRPr="0015364B">
        <w:t xml:space="preserve">te </w:t>
      </w:r>
      <w:r w:rsidR="00DF7D53">
        <w:rPr>
          <w:b/>
        </w:rPr>
        <w:t>58</w:t>
      </w:r>
      <w:r w:rsidRPr="0015364B">
        <w:rPr>
          <w:b/>
        </w:rPr>
        <w:t xml:space="preserve"> provjera provedbe naloga i preporuka</w:t>
      </w:r>
      <w:r w:rsidRPr="0015364B">
        <w:t>.</w:t>
      </w:r>
      <w:r w:rsidRPr="004B7970">
        <w:rPr>
          <w:spacing w:val="-10"/>
        </w:rPr>
        <w:t xml:space="preserve"> </w:t>
      </w:r>
    </w:p>
    <w:p w14:paraId="2F63259B" w14:textId="7A573621" w:rsidR="00CF6941" w:rsidRPr="00E0066C" w:rsidRDefault="00CF6941" w:rsidP="00E275AD">
      <w:pPr>
        <w:kinsoku w:val="0"/>
        <w:overflowPunct w:val="0"/>
        <w:spacing w:before="1"/>
        <w:textAlignment w:val="baseline"/>
        <w:rPr>
          <w:spacing w:val="-10"/>
        </w:rPr>
      </w:pPr>
      <w:r w:rsidRPr="0015364B">
        <w:t>U tijeku je</w:t>
      </w:r>
      <w:r w:rsidR="004B7970" w:rsidRPr="0015364B">
        <w:t xml:space="preserve"> </w:t>
      </w:r>
      <w:r w:rsidR="005C14E0">
        <w:rPr>
          <w:b/>
        </w:rPr>
        <w:t>59</w:t>
      </w:r>
      <w:r w:rsidR="004B7970" w:rsidRPr="0015364B">
        <w:rPr>
          <w:b/>
        </w:rPr>
        <w:t xml:space="preserve"> revizija</w:t>
      </w:r>
      <w:r w:rsidR="00DF7D53">
        <w:t xml:space="preserve"> (</w:t>
      </w:r>
      <w:r w:rsidR="005C14E0">
        <w:t xml:space="preserve">od čega </w:t>
      </w:r>
      <w:r w:rsidR="00DF7D53">
        <w:t>41</w:t>
      </w:r>
      <w:r w:rsidR="00755759">
        <w:t xml:space="preserve"> financijska</w:t>
      </w:r>
      <w:r w:rsidR="004B7970" w:rsidRPr="0015364B">
        <w:t xml:space="preserve"> revizija</w:t>
      </w:r>
      <w:r w:rsidR="00DF7D53">
        <w:t>, tri revizije</w:t>
      </w:r>
      <w:r w:rsidR="00D5105D" w:rsidRPr="0015364B">
        <w:t xml:space="preserve"> usklađenosti</w:t>
      </w:r>
      <w:r w:rsidR="00DF7D53">
        <w:t xml:space="preserve"> te 15 revizija učinkovitosti</w:t>
      </w:r>
      <w:r w:rsidR="005C14E0">
        <w:t>).</w:t>
      </w:r>
    </w:p>
    <w:p w14:paraId="09A670D8" w14:textId="77777777" w:rsidR="005C14E0" w:rsidRPr="0015364B" w:rsidRDefault="005C14E0" w:rsidP="00E275AD">
      <w:pPr>
        <w:kinsoku w:val="0"/>
        <w:overflowPunct w:val="0"/>
        <w:spacing w:before="1"/>
        <w:ind w:firstLine="567"/>
        <w:textAlignment w:val="baseline"/>
      </w:pPr>
    </w:p>
    <w:p w14:paraId="26FC9E65" w14:textId="0863F2C9" w:rsidR="004B1DC9" w:rsidRDefault="004B7970" w:rsidP="00E275AD">
      <w:pPr>
        <w:kinsoku w:val="0"/>
        <w:overflowPunct w:val="0"/>
        <w:spacing w:before="1"/>
        <w:textAlignment w:val="baseline"/>
      </w:pPr>
      <w:r w:rsidRPr="00860CC4">
        <w:t>Tijekom ovog izvještajnog razdoblja</w:t>
      </w:r>
      <w:r w:rsidR="0044093B" w:rsidRPr="00860CC4">
        <w:t>,</w:t>
      </w:r>
      <w:r w:rsidRPr="00860CC4">
        <w:t xml:space="preserve"> </w:t>
      </w:r>
      <w:r w:rsidR="0044093B" w:rsidRPr="00860CC4">
        <w:t xml:space="preserve">kako bi se otklonile nepravilnosti i propusti utvrđeni revizijom, </w:t>
      </w:r>
      <w:r w:rsidRPr="00860CC4">
        <w:t>s</w:t>
      </w:r>
      <w:r w:rsidR="0044093B" w:rsidRPr="00860CC4">
        <w:t xml:space="preserve">ubjektima revizije </w:t>
      </w:r>
      <w:r w:rsidRPr="00860CC4">
        <w:t xml:space="preserve">dano </w:t>
      </w:r>
      <w:r w:rsidR="00D5105D" w:rsidRPr="00860CC4">
        <w:t xml:space="preserve">je </w:t>
      </w:r>
      <w:r w:rsidRPr="00860CC4">
        <w:t>ukupno</w:t>
      </w:r>
      <w:r w:rsidR="00790451" w:rsidRPr="00860CC4">
        <w:t xml:space="preserve"> </w:t>
      </w:r>
      <w:r w:rsidR="00983AC3" w:rsidRPr="00860CC4">
        <w:rPr>
          <w:b/>
        </w:rPr>
        <w:t>2 296</w:t>
      </w:r>
      <w:r w:rsidRPr="00860CC4">
        <w:rPr>
          <w:b/>
        </w:rPr>
        <w:t xml:space="preserve"> naloga i preporuka</w:t>
      </w:r>
      <w:r w:rsidR="0044093B" w:rsidRPr="00860CC4">
        <w:t>.</w:t>
      </w:r>
      <w:r w:rsidR="009927F0" w:rsidRPr="0015364B">
        <w:t xml:space="preserve"> </w:t>
      </w:r>
    </w:p>
    <w:p w14:paraId="7D65CA6E" w14:textId="4513CDC1" w:rsidR="00C11D1D" w:rsidRDefault="00C11D1D" w:rsidP="00E275AD">
      <w:pPr>
        <w:kinsoku w:val="0"/>
        <w:overflowPunct w:val="0"/>
        <w:spacing w:before="1"/>
        <w:textAlignment w:val="baseline"/>
      </w:pPr>
    </w:p>
    <w:p w14:paraId="7776C603" w14:textId="7A2CFBD7" w:rsidR="00C11D1D" w:rsidRDefault="00C11D1D" w:rsidP="00E275AD">
      <w:pPr>
        <w:kinsoku w:val="0"/>
        <w:overflowPunct w:val="0"/>
        <w:spacing w:before="1"/>
        <w:textAlignment w:val="baseline"/>
      </w:pPr>
    </w:p>
    <w:p w14:paraId="44554FB9" w14:textId="77777777" w:rsidR="00E0066C" w:rsidRDefault="001E410A" w:rsidP="00E275AD">
      <w:r w:rsidRPr="001E410A">
        <w:lastRenderedPageBreak/>
        <w:t>U skladu s odredbama Zakona, Ured obavlja provjeru provedbe naloga i preporuka danih subjektima revizije u prijašnjim revizijama, i to u okviru redovnih financijskih revizija i revizija usklađenosti te u okviru</w:t>
      </w:r>
      <w:r>
        <w:t xml:space="preserve"> zasebnog revizijskog postupka.</w:t>
      </w:r>
      <w:r w:rsidR="00E0066C">
        <w:t xml:space="preserve"> </w:t>
      </w:r>
      <w:r w:rsidR="00AA29E7">
        <w:t xml:space="preserve"> </w:t>
      </w:r>
    </w:p>
    <w:p w14:paraId="17E04D8B" w14:textId="77777777" w:rsidR="00E45F4D" w:rsidRDefault="00E45F4D" w:rsidP="00E275AD"/>
    <w:p w14:paraId="130B7F1A" w14:textId="77777777" w:rsidR="00790451" w:rsidRDefault="00E45F4D" w:rsidP="00E275AD">
      <w:r>
        <w:t>Tako je s</w:t>
      </w:r>
      <w:r w:rsidR="001E410A">
        <w:t xml:space="preserve">veukupno tijekom 2025. </w:t>
      </w:r>
      <w:r w:rsidR="00983AC3">
        <w:t xml:space="preserve">provjerena provedba </w:t>
      </w:r>
      <w:r w:rsidR="00983AC3" w:rsidRPr="00983AC3">
        <w:rPr>
          <w:b/>
        </w:rPr>
        <w:t>8 589 naloga i preporuka te je utvrđeno da je provedeno 5 897 ili 68,6 % naloga i preporuka, djelomično je provedeno 1 115 ili 13,0 %, u postupku provedbe je 26 ili 0,3 %, nije proveden 1 441 ili 16,8 %, dok nije primjenjivo 110 ili 1,3 % naloga i preporuka</w:t>
      </w:r>
      <w:r w:rsidR="00983AC3">
        <w:t xml:space="preserve">, zbog promijenjenih propisa ili poslovnog okruženja. Iz navedenog proizlazi da je značajan broj subjekata revizije poduzimao aktivnosti na unaprjeđenju pravilnosti i povećanju učinkovitosti poslovanja. </w:t>
      </w:r>
    </w:p>
    <w:p w14:paraId="3B17C55D" w14:textId="77777777" w:rsidR="00E0066C" w:rsidRDefault="00E0066C" w:rsidP="00E275AD"/>
    <w:p w14:paraId="19FB4E1D" w14:textId="72A9A29B" w:rsidR="009318E0" w:rsidRDefault="00CF6941" w:rsidP="00E275AD">
      <w:pPr>
        <w:kinsoku w:val="0"/>
        <w:overflowPunct w:val="0"/>
        <w:ind w:right="3"/>
        <w:rPr>
          <w:rFonts w:cs="Arial"/>
        </w:rPr>
      </w:pPr>
      <w:r w:rsidRPr="00CF6941">
        <w:rPr>
          <w:rFonts w:cs="Arial"/>
        </w:rPr>
        <w:t xml:space="preserve">Sva konačna izvješća o obavljenoj reviziji </w:t>
      </w:r>
      <w:r w:rsidR="00132B58">
        <w:rPr>
          <w:rFonts w:cs="Arial"/>
        </w:rPr>
        <w:t xml:space="preserve">i </w:t>
      </w:r>
      <w:r w:rsidRPr="00CF6941">
        <w:rPr>
          <w:rFonts w:cs="Arial"/>
        </w:rPr>
        <w:t>obavljenoj provjeri provedbe naloga i preporuka</w:t>
      </w:r>
      <w:r w:rsidR="003629F7">
        <w:rPr>
          <w:rFonts w:cs="Arial"/>
        </w:rPr>
        <w:t xml:space="preserve"> su</w:t>
      </w:r>
      <w:r w:rsidRPr="00CF6941">
        <w:rPr>
          <w:rFonts w:cs="Arial"/>
        </w:rPr>
        <w:t xml:space="preserve"> </w:t>
      </w:r>
      <w:r w:rsidR="003629F7">
        <w:rPr>
          <w:rFonts w:cs="Arial"/>
        </w:rPr>
        <w:t xml:space="preserve">tijekom ovog izvještajnog razdoblja, </w:t>
      </w:r>
      <w:r w:rsidRPr="00CF6941">
        <w:rPr>
          <w:rFonts w:cs="Arial"/>
        </w:rPr>
        <w:t xml:space="preserve">osim Hrvatskom saboru, dostavljena i Državnom odvjetništvu Republike Hrvatske te objavljena na mrežnim stranicama </w:t>
      </w:r>
      <w:r w:rsidRPr="004B7970">
        <w:rPr>
          <w:rFonts w:cs="Arial"/>
        </w:rPr>
        <w:t xml:space="preserve">Ureda, </w:t>
      </w:r>
      <w:r w:rsidRPr="00CF6941">
        <w:rPr>
          <w:rFonts w:cs="Arial"/>
        </w:rPr>
        <w:t>u skladu s odredbama Zakona o Državnom uredu za reviziju i Zakona o pravu na pristup informacijama (Narodne novine 25/13, 85/15 i 69/22).</w:t>
      </w:r>
      <w:r w:rsidR="00E21345">
        <w:rPr>
          <w:rFonts w:cs="Arial"/>
        </w:rPr>
        <w:t xml:space="preserve"> </w:t>
      </w:r>
      <w:r w:rsidR="004B1DC9">
        <w:rPr>
          <w:rFonts w:cs="Arial"/>
        </w:rPr>
        <w:t>Također, t</w:t>
      </w:r>
      <w:r w:rsidR="009816FE">
        <w:t xml:space="preserve">ijekom izvještajnog razdoblja 2025. </w:t>
      </w:r>
      <w:r w:rsidR="00290D5A">
        <w:t>Državnom odvjetn</w:t>
      </w:r>
      <w:r w:rsidR="009816FE">
        <w:t>ištvu Republike Hrvatske dostavljene su</w:t>
      </w:r>
      <w:r w:rsidR="00290D5A">
        <w:t xml:space="preserve"> obavijesti za </w:t>
      </w:r>
      <w:r w:rsidR="009816FE">
        <w:t xml:space="preserve">sveukupno </w:t>
      </w:r>
      <w:r w:rsidR="00290D5A">
        <w:t>613 subjekata revizije koji nisu proveli naloge i preporuke u rokovima i na način naveden u planu provedbe naloga i preporuka.</w:t>
      </w:r>
    </w:p>
    <w:p w14:paraId="1B87C0C3" w14:textId="22975741" w:rsidR="00DC37F8" w:rsidRDefault="00DC37F8" w:rsidP="00C11D1D">
      <w:pPr>
        <w:pBdr>
          <w:bottom w:val="single" w:sz="4" w:space="1" w:color="auto"/>
        </w:pBdr>
        <w:ind w:right="-1"/>
        <w:rPr>
          <w:rFonts w:cs="Arial"/>
          <w:i/>
          <w:color w:val="000000" w:themeColor="text1"/>
        </w:rPr>
      </w:pPr>
    </w:p>
    <w:p w14:paraId="41FAAEDD" w14:textId="22FB1D53" w:rsidR="00B618D5" w:rsidRDefault="00B618D5" w:rsidP="00E275AD">
      <w:pPr>
        <w:kinsoku w:val="0"/>
        <w:overflowPunct w:val="0"/>
        <w:ind w:right="3" w:firstLine="567"/>
        <w:rPr>
          <w:rFonts w:cs="Arial"/>
        </w:rPr>
      </w:pPr>
    </w:p>
    <w:p w14:paraId="16A0C249" w14:textId="77777777" w:rsidR="00C11D1D" w:rsidRPr="00AD2B34" w:rsidRDefault="00C11D1D" w:rsidP="00E275AD">
      <w:pPr>
        <w:kinsoku w:val="0"/>
        <w:overflowPunct w:val="0"/>
        <w:ind w:right="3" w:firstLine="567"/>
        <w:rPr>
          <w:rFonts w:cs="Arial"/>
        </w:rPr>
      </w:pPr>
    </w:p>
    <w:p w14:paraId="49132CB3" w14:textId="77777777" w:rsidR="000E1DCD" w:rsidRPr="002B2252" w:rsidRDefault="00AD2B34" w:rsidP="00E275AD">
      <w:pPr>
        <w:shd w:val="clear" w:color="auto" w:fill="D9D9D9" w:themeFill="background1" w:themeFillShade="D9"/>
        <w:tabs>
          <w:tab w:val="left" w:pos="284"/>
          <w:tab w:val="left" w:pos="567"/>
          <w:tab w:val="left" w:pos="851"/>
        </w:tabs>
        <w:ind w:left="567" w:hanging="567"/>
        <w:rPr>
          <w:rFonts w:cs="Arial"/>
          <w:b/>
        </w:rPr>
      </w:pPr>
      <w:r>
        <w:rPr>
          <w:rFonts w:cs="Arial"/>
          <w:b/>
        </w:rPr>
        <w:t>II.</w:t>
      </w:r>
      <w:r>
        <w:rPr>
          <w:rFonts w:cs="Arial"/>
          <w:b/>
        </w:rPr>
        <w:tab/>
      </w:r>
      <w:r>
        <w:rPr>
          <w:rFonts w:cs="Arial"/>
          <w:b/>
        </w:rPr>
        <w:tab/>
      </w:r>
      <w:r w:rsidR="000E1DCD" w:rsidRPr="002B2252">
        <w:rPr>
          <w:rFonts w:cs="Arial"/>
          <w:b/>
        </w:rPr>
        <w:t>FINANCIJSKE REVIZIJE</w:t>
      </w:r>
    </w:p>
    <w:p w14:paraId="7FA6B5C0" w14:textId="77777777" w:rsidR="000E1DCD" w:rsidRDefault="000E1DCD" w:rsidP="00E275AD">
      <w:pPr>
        <w:tabs>
          <w:tab w:val="left" w:pos="284"/>
          <w:tab w:val="left" w:pos="567"/>
          <w:tab w:val="left" w:pos="851"/>
        </w:tabs>
        <w:ind w:left="567" w:hanging="567"/>
        <w:rPr>
          <w:rFonts w:cs="Arial"/>
          <w:color w:val="365F91" w:themeColor="accent1" w:themeShade="BF"/>
        </w:rPr>
      </w:pPr>
    </w:p>
    <w:p w14:paraId="39978814" w14:textId="77777777" w:rsidR="00AD2B34" w:rsidRDefault="004B7970" w:rsidP="00E275AD">
      <w:pPr>
        <w:kinsoku w:val="0"/>
        <w:overflowPunct w:val="0"/>
        <w:spacing w:before="1"/>
        <w:textAlignment w:val="baseline"/>
      </w:pPr>
      <w:r w:rsidRPr="00A33D35">
        <w:t>Financijskom revizijom provjeravaju se financijski izvještaji i usklađenost poslovanja</w:t>
      </w:r>
      <w:r w:rsidR="00AD2B34">
        <w:t xml:space="preserve"> s propisima i unutarnjim aktima značajnima za poslovanje subjekta revizije te se izražavaju dva mišljenja, o financijskim izvještajima i o usklađenosti poslovanja. Mišljenja mogu biti: bezuvjetno, uvjetno, nepovoljno ili suzdržano. </w:t>
      </w:r>
    </w:p>
    <w:p w14:paraId="054C2E87" w14:textId="77777777" w:rsidR="007A1F3A" w:rsidRDefault="007A1F3A" w:rsidP="00E275AD">
      <w:pPr>
        <w:kinsoku w:val="0"/>
        <w:overflowPunct w:val="0"/>
        <w:spacing w:before="1"/>
        <w:ind w:firstLine="567"/>
        <w:textAlignment w:val="baseline"/>
      </w:pPr>
    </w:p>
    <w:p w14:paraId="56A19A8D" w14:textId="77777777" w:rsidR="007A1F3A" w:rsidRDefault="007A1F3A" w:rsidP="00E275AD">
      <w:pPr>
        <w:kinsoku w:val="0"/>
        <w:overflowPunct w:val="0"/>
        <w:spacing w:before="1"/>
        <w:ind w:left="567" w:hanging="567"/>
        <w:textAlignment w:val="baseline"/>
      </w:pPr>
      <w:r>
        <w:t>Ciljevi</w:t>
      </w:r>
      <w:r w:rsidR="000C2CD7">
        <w:t xml:space="preserve"> financijskih revizija</w:t>
      </w:r>
      <w:r>
        <w:t xml:space="preserve"> bili su:</w:t>
      </w:r>
    </w:p>
    <w:p w14:paraId="10B30531" w14:textId="77777777" w:rsidR="007A1F3A" w:rsidRDefault="007A1F3A" w:rsidP="00E275AD">
      <w:pPr>
        <w:kinsoku w:val="0"/>
        <w:overflowPunct w:val="0"/>
        <w:spacing w:before="1"/>
        <w:ind w:left="567" w:hanging="567"/>
        <w:textAlignment w:val="baseline"/>
      </w:pPr>
      <w:r>
        <w:t>–</w:t>
      </w:r>
      <w:r>
        <w:tab/>
        <w:t>provjeriti istinitost i vjerodost</w:t>
      </w:r>
      <w:r w:rsidR="00DC37F8">
        <w:t xml:space="preserve">ojnost financijskih izvještaja </w:t>
      </w:r>
    </w:p>
    <w:p w14:paraId="3EDAE6D8" w14:textId="77777777" w:rsidR="007A1F3A" w:rsidRDefault="007A1F3A" w:rsidP="00E275AD">
      <w:pPr>
        <w:kinsoku w:val="0"/>
        <w:overflowPunct w:val="0"/>
        <w:spacing w:before="1"/>
        <w:ind w:left="567" w:hanging="567"/>
        <w:textAlignment w:val="baseline"/>
      </w:pPr>
      <w:r>
        <w:t>–</w:t>
      </w:r>
      <w:r>
        <w:tab/>
        <w:t xml:space="preserve">provjeriti usklađenost poslovanja sa zakonima i drugim propisima koji imaju značajan utjecaj na financijsko poslovanje </w:t>
      </w:r>
    </w:p>
    <w:p w14:paraId="6ED6AF3A" w14:textId="77777777" w:rsidR="007A1F3A" w:rsidRDefault="007A1F3A" w:rsidP="00E275AD">
      <w:pPr>
        <w:kinsoku w:val="0"/>
        <w:overflowPunct w:val="0"/>
        <w:spacing w:before="1"/>
        <w:ind w:left="567" w:hanging="567"/>
        <w:textAlignment w:val="baseline"/>
      </w:pPr>
      <w:r>
        <w:t>–</w:t>
      </w:r>
      <w:r>
        <w:tab/>
        <w:t>provjeriti provedbu naloga i preporuka iz prošle revizije</w:t>
      </w:r>
    </w:p>
    <w:p w14:paraId="3D0D3E34" w14:textId="5BD8A09B" w:rsidR="007A1F3A" w:rsidRDefault="007A1F3A" w:rsidP="00E275AD">
      <w:pPr>
        <w:kinsoku w:val="0"/>
        <w:overflowPunct w:val="0"/>
        <w:spacing w:before="1"/>
        <w:ind w:left="567" w:hanging="567"/>
        <w:textAlignment w:val="baseline"/>
      </w:pPr>
      <w:r>
        <w:t>–</w:t>
      </w:r>
      <w:r>
        <w:tab/>
        <w:t>provjeriti druge aktivnosti u vezi s poslovanjem.</w:t>
      </w:r>
    </w:p>
    <w:p w14:paraId="40182DBA" w14:textId="77777777" w:rsidR="009816FE" w:rsidRDefault="009816FE" w:rsidP="00E275AD">
      <w:pPr>
        <w:kinsoku w:val="0"/>
        <w:overflowPunct w:val="0"/>
        <w:spacing w:before="1"/>
        <w:ind w:left="567" w:hanging="567"/>
        <w:textAlignment w:val="baseline"/>
      </w:pPr>
    </w:p>
    <w:p w14:paraId="7A9F146E" w14:textId="77777777" w:rsidR="004B7970" w:rsidRPr="00976767" w:rsidRDefault="004B7970" w:rsidP="00E275AD">
      <w:pPr>
        <w:tabs>
          <w:tab w:val="left" w:pos="284"/>
          <w:tab w:val="left" w:pos="567"/>
          <w:tab w:val="left" w:pos="851"/>
        </w:tabs>
        <w:ind w:left="567" w:hanging="567"/>
        <w:rPr>
          <w:rFonts w:cs="Arial"/>
          <w:color w:val="365F91" w:themeColor="accent1" w:themeShade="BF"/>
        </w:rPr>
      </w:pPr>
    </w:p>
    <w:p w14:paraId="43DFB453" w14:textId="77777777" w:rsidR="007A1F3A" w:rsidRPr="002B2252" w:rsidRDefault="007A1F3A" w:rsidP="00E275AD">
      <w:pPr>
        <w:shd w:val="clear" w:color="auto" w:fill="D9D9D9" w:themeFill="background1" w:themeFillShade="D9"/>
        <w:tabs>
          <w:tab w:val="left" w:pos="284"/>
          <w:tab w:val="left" w:pos="567"/>
          <w:tab w:val="left" w:pos="851"/>
        </w:tabs>
        <w:ind w:left="567" w:hanging="567"/>
        <w:rPr>
          <w:rFonts w:cs="Arial"/>
          <w:b/>
        </w:rPr>
      </w:pPr>
      <w:r w:rsidRPr="007A1F3A">
        <w:rPr>
          <w:rFonts w:cs="Arial"/>
          <w:b/>
        </w:rPr>
        <w:t>KORISNICI DRŽAVNOG PRORAČUNA</w:t>
      </w:r>
    </w:p>
    <w:p w14:paraId="7815B16F" w14:textId="77777777" w:rsidR="00961E98" w:rsidRPr="003B4E3F" w:rsidRDefault="00961E98" w:rsidP="00E275AD">
      <w:pPr>
        <w:tabs>
          <w:tab w:val="left" w:pos="0"/>
        </w:tabs>
      </w:pPr>
    </w:p>
    <w:p w14:paraId="7344F4FE" w14:textId="77777777" w:rsidR="00B47FD5" w:rsidRPr="00B47FD5" w:rsidRDefault="00B47FD5" w:rsidP="00E275AD">
      <w:pPr>
        <w:tabs>
          <w:tab w:val="left" w:pos="284"/>
          <w:tab w:val="left" w:pos="567"/>
          <w:tab w:val="left" w:pos="851"/>
        </w:tabs>
      </w:pPr>
      <w:bookmarkStart w:id="1" w:name="_Toc477941783"/>
      <w:r w:rsidRPr="00B47FD5">
        <w:t xml:space="preserve">U izvještajnom razdoblju </w:t>
      </w:r>
      <w:r w:rsidR="00602D53">
        <w:t xml:space="preserve">2025. </w:t>
      </w:r>
      <w:r w:rsidRPr="00B47FD5">
        <w:t>obavljena je financijska revizija 14 korisnika državnog proračuna (13 proračunskih korisnika i jednog izvanproračunskog korisnika, prema popisu u prilogu).</w:t>
      </w:r>
    </w:p>
    <w:p w14:paraId="3777B646" w14:textId="77777777" w:rsidR="00B47FD5" w:rsidRPr="00B47FD5" w:rsidRDefault="00B47FD5" w:rsidP="00E275AD">
      <w:pPr>
        <w:tabs>
          <w:tab w:val="left" w:pos="284"/>
          <w:tab w:val="left" w:pos="567"/>
          <w:tab w:val="left" w:pos="851"/>
        </w:tabs>
      </w:pPr>
    </w:p>
    <w:p w14:paraId="06987AF8" w14:textId="77777777" w:rsidR="00B47FD5" w:rsidRPr="00B47FD5" w:rsidRDefault="00B47FD5" w:rsidP="00E275AD">
      <w:pPr>
        <w:tabs>
          <w:tab w:val="left" w:pos="284"/>
          <w:tab w:val="left" w:pos="567"/>
          <w:tab w:val="left" w:pos="851"/>
        </w:tabs>
      </w:pPr>
      <w:r w:rsidRPr="00B47FD5">
        <w:t>Predmet financijske revizije jednog korisnika državnog proračuna (Ministarstvo mora,  prometa i infrastrukture) bili su financijski izvještaji i poslovanje za 2023., dok su kod 13 korisnika državnog proračuna predmet revizije bili financijski izvještaji i poslovanje za 2024.</w:t>
      </w:r>
    </w:p>
    <w:p w14:paraId="22B21FE9" w14:textId="77777777" w:rsidR="00B47FD5" w:rsidRPr="00B47FD5" w:rsidRDefault="00B47FD5" w:rsidP="00E275AD">
      <w:pPr>
        <w:tabs>
          <w:tab w:val="left" w:pos="284"/>
          <w:tab w:val="left" w:pos="567"/>
          <w:tab w:val="left" w:pos="851"/>
        </w:tabs>
      </w:pPr>
    </w:p>
    <w:p w14:paraId="267F00BE" w14:textId="77777777" w:rsidR="00B47FD5" w:rsidRDefault="00B47FD5" w:rsidP="00E275AD">
      <w:pPr>
        <w:tabs>
          <w:tab w:val="left" w:pos="284"/>
          <w:tab w:val="left" w:pos="567"/>
          <w:tab w:val="left" w:pos="851"/>
        </w:tabs>
        <w:rPr>
          <w:b/>
        </w:rPr>
      </w:pPr>
      <w:r w:rsidRPr="00B47FD5">
        <w:rPr>
          <w:b/>
        </w:rPr>
        <w:t>O financijskim izvještajima korisnika državnog proračuna izražena su četiri bezuvjetna i deset uvjetnih mišljenja, a o usklađenosti poslovanja pet bezuvjetnih i devet uvjetnih mišljenja.</w:t>
      </w:r>
    </w:p>
    <w:p w14:paraId="714C3D5B" w14:textId="77777777" w:rsidR="00477F4D" w:rsidRDefault="00477F4D" w:rsidP="00E275AD">
      <w:pPr>
        <w:tabs>
          <w:tab w:val="left" w:pos="284"/>
          <w:tab w:val="left" w:pos="567"/>
          <w:tab w:val="left" w:pos="851"/>
        </w:tabs>
        <w:rPr>
          <w:b/>
        </w:rPr>
      </w:pPr>
    </w:p>
    <w:p w14:paraId="14DABF14" w14:textId="77777777" w:rsidR="00DC37F8" w:rsidRDefault="00DC37F8" w:rsidP="00E275AD">
      <w:pPr>
        <w:tabs>
          <w:tab w:val="left" w:pos="284"/>
          <w:tab w:val="left" w:pos="567"/>
          <w:tab w:val="left" w:pos="851"/>
        </w:tabs>
        <w:rPr>
          <w:b/>
        </w:rPr>
      </w:pPr>
    </w:p>
    <w:p w14:paraId="3DC98FBD" w14:textId="1DD13363" w:rsidR="00CA592A" w:rsidRDefault="00B47FD5" w:rsidP="00E275AD">
      <w:pPr>
        <w:tabs>
          <w:tab w:val="left" w:pos="284"/>
          <w:tab w:val="left" w:pos="567"/>
          <w:tab w:val="left" w:pos="851"/>
        </w:tabs>
      </w:pPr>
      <w:r w:rsidRPr="00B47FD5">
        <w:lastRenderedPageBreak/>
        <w:t xml:space="preserve">Na </w:t>
      </w:r>
      <w:r w:rsidRPr="00B47FD5">
        <w:rPr>
          <w:b/>
        </w:rPr>
        <w:t xml:space="preserve">uvjetno mišljenje o financijskim izvještajima </w:t>
      </w:r>
      <w:r w:rsidRPr="00B47FD5">
        <w:t>utjecale su nepravilnosti u računovodstvenom poslovanju i financijskom izvještavanju, zbog čega dio podataka iskazan u financijskim izvještajima nije točan. Utvrđene značajnije nepravilnosti odnose se na evidentiranje poslovnih događaja na propisanim računima, usklađivanje podataka u analitičkim evidencijama s podacima evidentiranim u glavnoj knjizi te iskazanim u financijskim izvještajima, obavljanje p</w:t>
      </w:r>
      <w:r w:rsidR="003B4728">
        <w:t>opisa imovine i obveza te izradu</w:t>
      </w:r>
      <w:r w:rsidRPr="00B47FD5">
        <w:t xml:space="preserve"> Bilješki uz financijske izvještaje. </w:t>
      </w:r>
    </w:p>
    <w:p w14:paraId="23037798" w14:textId="745A0D9F" w:rsidR="001A2E91" w:rsidRDefault="00B47FD5" w:rsidP="00E275AD">
      <w:pPr>
        <w:tabs>
          <w:tab w:val="left" w:pos="284"/>
          <w:tab w:val="left" w:pos="567"/>
          <w:tab w:val="left" w:pos="851"/>
        </w:tabs>
      </w:pPr>
      <w:r w:rsidRPr="00B47FD5">
        <w:t xml:space="preserve">Na </w:t>
      </w:r>
      <w:r w:rsidRPr="00B47FD5">
        <w:rPr>
          <w:b/>
        </w:rPr>
        <w:t xml:space="preserve">uvjetno mišljenje o usklađenosti poslovanja </w:t>
      </w:r>
      <w:r w:rsidRPr="00B47FD5">
        <w:t>utjecale su nepravilnosti</w:t>
      </w:r>
      <w:r w:rsidRPr="00B47FD5">
        <w:rPr>
          <w:b/>
        </w:rPr>
        <w:t xml:space="preserve"> </w:t>
      </w:r>
      <w:r w:rsidRPr="00B47FD5">
        <w:t>u područjima djelokruga,</w:t>
      </w:r>
      <w:r w:rsidR="00CF6FBE">
        <w:t xml:space="preserve"> </w:t>
      </w:r>
      <w:r w:rsidRPr="00B47FD5">
        <w:t>sustava unutarnjih kontrola, planiranja i izvršenja plana, prihoda i potraživanja, ra</w:t>
      </w:r>
      <w:r w:rsidR="009816FE">
        <w:t xml:space="preserve">shoda, imovine te javne nabave. </w:t>
      </w:r>
    </w:p>
    <w:p w14:paraId="570FD71D" w14:textId="77777777" w:rsidR="001A2E91" w:rsidRDefault="001A2E91" w:rsidP="00E275AD">
      <w:pPr>
        <w:tabs>
          <w:tab w:val="left" w:pos="284"/>
          <w:tab w:val="left" w:pos="567"/>
          <w:tab w:val="left" w:pos="851"/>
        </w:tabs>
      </w:pPr>
    </w:p>
    <w:p w14:paraId="15BC45A9" w14:textId="4A701149" w:rsidR="00B47FD5" w:rsidRPr="00B47FD5" w:rsidRDefault="009816FE" w:rsidP="00E275AD">
      <w:pPr>
        <w:tabs>
          <w:tab w:val="left" w:pos="284"/>
          <w:tab w:val="left" w:pos="567"/>
          <w:tab w:val="left" w:pos="851"/>
        </w:tabs>
      </w:pPr>
      <w:r>
        <w:t xml:space="preserve">U nastavku se navode </w:t>
      </w:r>
      <w:r w:rsidR="00B47FD5" w:rsidRPr="00B47FD5">
        <w:t xml:space="preserve">značajnije </w:t>
      </w:r>
      <w:r>
        <w:t xml:space="preserve">nepravilnosti utvrđene kod </w:t>
      </w:r>
      <w:r w:rsidR="003958EE">
        <w:t>osam</w:t>
      </w:r>
      <w:r>
        <w:t xml:space="preserve"> </w:t>
      </w:r>
      <w:r w:rsidR="008713E7">
        <w:t xml:space="preserve">proračunskih </w:t>
      </w:r>
      <w:r>
        <w:t xml:space="preserve">korisnika državnog proračuna za koja su izvješća o obavljenim revizijama postala </w:t>
      </w:r>
      <w:r w:rsidR="008330DC">
        <w:t>konačna nakon prosinca 2025.</w:t>
      </w:r>
      <w:r w:rsidR="008330DC">
        <w:rPr>
          <w:rStyle w:val="Referencafusnote"/>
        </w:rPr>
        <w:footnoteReference w:id="1"/>
      </w:r>
      <w:r w:rsidR="008330DC">
        <w:t xml:space="preserve">: </w:t>
      </w:r>
    </w:p>
    <w:p w14:paraId="72C91ADD" w14:textId="77777777" w:rsidR="00B47FD5" w:rsidRPr="00B47FD5" w:rsidRDefault="00B47FD5" w:rsidP="00E275AD">
      <w:pPr>
        <w:numPr>
          <w:ilvl w:val="0"/>
          <w:numId w:val="5"/>
        </w:numPr>
        <w:tabs>
          <w:tab w:val="left" w:pos="567"/>
          <w:tab w:val="left" w:pos="851"/>
        </w:tabs>
        <w:ind w:left="567" w:hanging="567"/>
      </w:pPr>
      <w:r w:rsidRPr="00B47FD5">
        <w:t>S donošenjem i dostavom odluka o ostvarivanju prava na potporu za 2023. za sve potpore u okviru izravnih plaćanja i IAKS mjera ruralnog razvoja propisanih Pravilnikom o provedbi izravne potpore poljoprivredi i IAKS mjera ruralnog razvoja za 2023. Agencija za plaćanja u poljoprivredi, ribarstvu i ruralnom razvoju je započela koncem siječnja 2025., a trebale su biti donesene i dostavljene korisnicima najkasnije do konca kolovoza 2024.</w:t>
      </w:r>
    </w:p>
    <w:p w14:paraId="28189283" w14:textId="75168E62" w:rsidR="00B47FD5" w:rsidRPr="00B47FD5" w:rsidRDefault="00B47FD5" w:rsidP="00E275AD">
      <w:pPr>
        <w:numPr>
          <w:ilvl w:val="0"/>
          <w:numId w:val="5"/>
        </w:numPr>
        <w:tabs>
          <w:tab w:val="left" w:pos="567"/>
          <w:tab w:val="left" w:pos="851"/>
        </w:tabs>
        <w:ind w:left="567" w:hanging="567"/>
      </w:pPr>
      <w:r w:rsidRPr="00B47FD5">
        <w:t xml:space="preserve">Postupak utvrđivanja prava na inkluzivni dodatak te statusa roditelja njegovatelja ili njegovatelja u dijelu rokova za donošenje rješenja ne provodi se u skladu sa Zakonom o inkluzivnom dodatku </w:t>
      </w:r>
      <w:r w:rsidR="00076E73">
        <w:t xml:space="preserve">te Zakonom o socijalnoj skrbi. </w:t>
      </w:r>
      <w:r w:rsidRPr="00B47FD5">
        <w:t>U većem broju slučaj</w:t>
      </w:r>
      <w:r w:rsidR="00D06564">
        <w:t>ev</w:t>
      </w:r>
      <w:r w:rsidRPr="00B47FD5">
        <w:t>a utvrđena su kašnjenja pri donošenju rješenja, a u nekim slučajevima utvrđena su višemjesečna kašnjenja u odnosu na propisane rokove.</w:t>
      </w:r>
    </w:p>
    <w:p w14:paraId="51B979BD" w14:textId="77777777" w:rsidR="00B47FD5" w:rsidRPr="00B47FD5" w:rsidRDefault="00B47FD5" w:rsidP="00E275AD">
      <w:pPr>
        <w:numPr>
          <w:ilvl w:val="0"/>
          <w:numId w:val="5"/>
        </w:numPr>
        <w:tabs>
          <w:tab w:val="left" w:pos="567"/>
          <w:tab w:val="left" w:pos="851"/>
        </w:tabs>
        <w:ind w:left="567" w:hanging="567"/>
      </w:pPr>
      <w:r w:rsidRPr="00B47FD5">
        <w:t>Godišnji planovi rada i godišnji izvještaji o radu kod dijela proračunskih korisnika državnog proračuna nisu doneseni ili ne sadrže sve propisane elemente.</w:t>
      </w:r>
    </w:p>
    <w:p w14:paraId="538032CF" w14:textId="77777777" w:rsidR="00B47FD5" w:rsidRPr="00B47FD5" w:rsidRDefault="00B47FD5" w:rsidP="00E275AD">
      <w:pPr>
        <w:numPr>
          <w:ilvl w:val="0"/>
          <w:numId w:val="5"/>
        </w:numPr>
        <w:tabs>
          <w:tab w:val="left" w:pos="567"/>
          <w:tab w:val="left" w:pos="851"/>
        </w:tabs>
        <w:ind w:left="567" w:hanging="567"/>
      </w:pPr>
      <w:r w:rsidRPr="00B47FD5">
        <w:t xml:space="preserve">Više putnih naloga u Hrvatskom zavodu za socijalni rad ne sadrži potrebne podatke i dokumentaciju kojom se dokazuju nastali troškovi na službenom putu. </w:t>
      </w:r>
    </w:p>
    <w:p w14:paraId="7829FF4B" w14:textId="77777777" w:rsidR="00B47FD5" w:rsidRPr="00B47FD5" w:rsidRDefault="00B47FD5" w:rsidP="00E275AD">
      <w:pPr>
        <w:numPr>
          <w:ilvl w:val="0"/>
          <w:numId w:val="5"/>
        </w:numPr>
        <w:tabs>
          <w:tab w:val="left" w:pos="567"/>
          <w:tab w:val="left" w:pos="851"/>
        </w:tabs>
        <w:ind w:left="567" w:hanging="567"/>
      </w:pPr>
      <w:r w:rsidRPr="00B47FD5">
        <w:t>Nagrade za radne rezultate radnika u Hrvatskom zavodu za transfuzijsku medicinu isplaćene su više od iznosa koji je prema odredbama Zakona o plaćama u državnoj službi i javnim službama bilo dozvoljeno isplatiti u 2024. Prekovremeni rad za 46 zaposlenika Hrvatskog zavoda za transfuzijsku medicinu trajao je do 108 sati više od propisanog ograničenja godišnjeg broja sati.</w:t>
      </w:r>
    </w:p>
    <w:p w14:paraId="7E33E71D" w14:textId="77777777" w:rsidR="00B47FD5" w:rsidRPr="00B47FD5" w:rsidRDefault="00B47FD5" w:rsidP="00E275AD">
      <w:pPr>
        <w:numPr>
          <w:ilvl w:val="0"/>
          <w:numId w:val="5"/>
        </w:numPr>
        <w:tabs>
          <w:tab w:val="left" w:pos="567"/>
          <w:tab w:val="left" w:pos="851"/>
        </w:tabs>
        <w:ind w:left="567" w:hanging="567"/>
      </w:pPr>
      <w:r w:rsidRPr="00B47FD5">
        <w:t xml:space="preserve">Više proračunskih korisnika državnog proračuna nije dostavilo i unijelo u Središnji registar državne imovine cjelovite podatke o pojavnim oblicima državne imovine kojom upravlja, raspolaže ili im je dana na korištenje, neovisno o nositelju vlasničkih prava.  </w:t>
      </w:r>
    </w:p>
    <w:p w14:paraId="283641F1" w14:textId="77777777" w:rsidR="00B47FD5" w:rsidRPr="00B47FD5" w:rsidRDefault="00B47FD5" w:rsidP="00E275AD">
      <w:pPr>
        <w:numPr>
          <w:ilvl w:val="0"/>
          <w:numId w:val="5"/>
        </w:numPr>
        <w:tabs>
          <w:tab w:val="left" w:pos="567"/>
          <w:tab w:val="left" w:pos="851"/>
        </w:tabs>
        <w:ind w:left="567" w:hanging="567"/>
      </w:pPr>
      <w:r w:rsidRPr="00B47FD5">
        <w:t>Posebne nagrade akademicima za funkcionalni dodatak koje su utvrđene Statutom i Pravilnikom o nagradama članova i članova Predsjedništva Akademije, isplaćivane su iz sredstava državnog proračuna, što nije u skladu s odredbama Zakona o Hrvatskoj akademiji znanosti i umjetnosti.</w:t>
      </w:r>
    </w:p>
    <w:p w14:paraId="448C7E83" w14:textId="77777777" w:rsidR="00B47FD5" w:rsidRDefault="00B47FD5" w:rsidP="00E275AD">
      <w:pPr>
        <w:numPr>
          <w:ilvl w:val="0"/>
          <w:numId w:val="5"/>
        </w:numPr>
        <w:tabs>
          <w:tab w:val="left" w:pos="567"/>
          <w:tab w:val="left" w:pos="851"/>
        </w:tabs>
        <w:ind w:left="567" w:hanging="567"/>
      </w:pPr>
      <w:r w:rsidRPr="00B47FD5">
        <w:t>Hrvatski zavod za transfuzijsku medicinu i Hrvatski veterinarski institut nisu posvetili dovoljno pozornosti ažuriranju plana nabave za postupke nabave za koje je bilo izvjesno da se neće provesti u 2024. te navedeni planovi nabave ne iskazuju stvarne potrebe za nabavom roba, usluga i radova tijekom proračunske godine.</w:t>
      </w:r>
    </w:p>
    <w:p w14:paraId="47B38E07" w14:textId="77777777" w:rsidR="00C11D1D" w:rsidRDefault="00C11D1D" w:rsidP="00E275AD">
      <w:pPr>
        <w:tabs>
          <w:tab w:val="left" w:pos="284"/>
          <w:tab w:val="left" w:pos="567"/>
          <w:tab w:val="left" w:pos="851"/>
        </w:tabs>
      </w:pPr>
    </w:p>
    <w:p w14:paraId="4B22A409" w14:textId="77777777" w:rsidR="00C11D1D" w:rsidRDefault="00C11D1D" w:rsidP="00E275AD">
      <w:pPr>
        <w:tabs>
          <w:tab w:val="left" w:pos="284"/>
          <w:tab w:val="left" w:pos="567"/>
          <w:tab w:val="left" w:pos="851"/>
        </w:tabs>
      </w:pPr>
    </w:p>
    <w:p w14:paraId="777715D3" w14:textId="77777777" w:rsidR="00C11D1D" w:rsidRDefault="00C11D1D" w:rsidP="00E275AD">
      <w:pPr>
        <w:tabs>
          <w:tab w:val="left" w:pos="284"/>
          <w:tab w:val="left" w:pos="567"/>
          <w:tab w:val="left" w:pos="851"/>
        </w:tabs>
      </w:pPr>
    </w:p>
    <w:p w14:paraId="7AA11445" w14:textId="77777777" w:rsidR="00C11D1D" w:rsidRDefault="00C11D1D" w:rsidP="00E275AD">
      <w:pPr>
        <w:tabs>
          <w:tab w:val="left" w:pos="284"/>
          <w:tab w:val="left" w:pos="567"/>
          <w:tab w:val="left" w:pos="851"/>
        </w:tabs>
      </w:pPr>
    </w:p>
    <w:p w14:paraId="540E1B51" w14:textId="13FCC546" w:rsidR="00B47FD5" w:rsidRDefault="00CA592A" w:rsidP="00E275AD">
      <w:pPr>
        <w:tabs>
          <w:tab w:val="left" w:pos="284"/>
          <w:tab w:val="left" w:pos="567"/>
          <w:tab w:val="left" w:pos="851"/>
        </w:tabs>
        <w:rPr>
          <w:i/>
        </w:rPr>
      </w:pPr>
      <w:r>
        <w:lastRenderedPageBreak/>
        <w:t>Nadalje, u</w:t>
      </w:r>
      <w:r w:rsidR="008713E7">
        <w:t xml:space="preserve"> izvješću o obavljenoj reviziji </w:t>
      </w:r>
      <w:r w:rsidR="00C11D1D">
        <w:t>i</w:t>
      </w:r>
      <w:r w:rsidR="008713E7">
        <w:t xml:space="preserve">zvanproračunskog korisnika (HZMO) </w:t>
      </w:r>
      <w:r w:rsidR="00B47FD5" w:rsidRPr="00B47FD5">
        <w:t xml:space="preserve">skrenuta je pozornost na činjenice u vezi s duljinom trajanja postupka za ostvarivanje prava iz mirovinskog osiguranja te </w:t>
      </w:r>
      <w:r w:rsidR="008713E7">
        <w:t xml:space="preserve">je </w:t>
      </w:r>
      <w:r w:rsidR="00B47FD5" w:rsidRPr="00B47FD5">
        <w:t xml:space="preserve">ukazano da je potrebno ubrzati aktivnosti u vezi s donošenjem rješenja, radi bržeg ostvarivanja prava podnositelja zahtjeva </w:t>
      </w:r>
      <w:r w:rsidR="00B47FD5" w:rsidRPr="003958EE">
        <w:rPr>
          <w:i/>
        </w:rPr>
        <w:t xml:space="preserve">(HZMO u suradnji s drugim tijelima koja sudjeluju u postupku donošenja).  </w:t>
      </w:r>
    </w:p>
    <w:p w14:paraId="08682706" w14:textId="77777777" w:rsidR="00C11D1D" w:rsidRPr="003958EE" w:rsidRDefault="00C11D1D" w:rsidP="00E275AD">
      <w:pPr>
        <w:tabs>
          <w:tab w:val="left" w:pos="284"/>
          <w:tab w:val="left" w:pos="567"/>
          <w:tab w:val="left" w:pos="851"/>
        </w:tabs>
        <w:rPr>
          <w:i/>
        </w:rPr>
      </w:pPr>
    </w:p>
    <w:p w14:paraId="3C3AC659" w14:textId="76533121" w:rsidR="00B47FD5" w:rsidRPr="00B47FD5" w:rsidRDefault="00CA592A" w:rsidP="00E275AD">
      <w:pPr>
        <w:tabs>
          <w:tab w:val="left" w:pos="284"/>
          <w:tab w:val="left" w:pos="567"/>
          <w:tab w:val="left" w:pos="851"/>
        </w:tabs>
      </w:pPr>
      <w:r>
        <w:t>Također</w:t>
      </w:r>
      <w:r w:rsidR="003958EE">
        <w:t>, kod svih</w:t>
      </w:r>
      <w:r w:rsidR="00B47FD5" w:rsidRPr="00B47FD5">
        <w:t xml:space="preserve"> korisnika kojima su izražena bezuvjetna mišljenja utvrđene su određene nepravilnosti i propusti, ali oni nisu imali značajniji utjecaj na realnost i vjerodostojnost financijskih izvještaja i usklađenost poslovanja te su stoga i izražena bezuvjetna mišljenja. </w:t>
      </w:r>
    </w:p>
    <w:p w14:paraId="35D80898" w14:textId="77777777" w:rsidR="00B47FD5" w:rsidRPr="00B47FD5" w:rsidRDefault="00B47FD5" w:rsidP="00E275AD">
      <w:pPr>
        <w:tabs>
          <w:tab w:val="left" w:pos="284"/>
          <w:tab w:val="left" w:pos="567"/>
          <w:tab w:val="left" w:pos="851"/>
        </w:tabs>
      </w:pPr>
      <w:r w:rsidRPr="00B47FD5">
        <w:t xml:space="preserve"> </w:t>
      </w:r>
    </w:p>
    <w:p w14:paraId="3BCE74E7" w14:textId="77777777" w:rsidR="00B47FD5" w:rsidRPr="00B47FD5" w:rsidRDefault="00B47FD5" w:rsidP="00E275AD">
      <w:pPr>
        <w:tabs>
          <w:tab w:val="left" w:pos="284"/>
          <w:tab w:val="left" w:pos="567"/>
          <w:tab w:val="left" w:pos="851"/>
        </w:tabs>
      </w:pPr>
      <w:r w:rsidRPr="00B47FD5">
        <w:t xml:space="preserve">Za nepravilnosti i propuste utvrđene revizijom Ured je korisnicima državnog proračuna dao </w:t>
      </w:r>
      <w:r w:rsidRPr="00B47FD5">
        <w:rPr>
          <w:b/>
        </w:rPr>
        <w:t>ukupno 190 naloga i preporuka,</w:t>
      </w:r>
      <w:r w:rsidRPr="00B47FD5">
        <w:t xml:space="preserve"> čija bi provedba pridonijela točnijem i realnijem iskazivanju podataka u financijskim izvještajima te povećanju usklađenosti poslovanja sa zakonima, drugim propisima i unutarnjim aktima.</w:t>
      </w:r>
    </w:p>
    <w:p w14:paraId="7A6798E8" w14:textId="77777777" w:rsidR="00B47FD5" w:rsidRPr="00B47FD5" w:rsidRDefault="00B47FD5" w:rsidP="00E275AD">
      <w:pPr>
        <w:tabs>
          <w:tab w:val="left" w:pos="284"/>
          <w:tab w:val="left" w:pos="567"/>
          <w:tab w:val="left" w:pos="851"/>
        </w:tabs>
      </w:pPr>
    </w:p>
    <w:p w14:paraId="7361F80F" w14:textId="77777777" w:rsidR="00B47FD5" w:rsidRDefault="00B47FD5" w:rsidP="00E275AD">
      <w:pPr>
        <w:tabs>
          <w:tab w:val="left" w:pos="284"/>
          <w:tab w:val="left" w:pos="567"/>
          <w:tab w:val="left" w:pos="851"/>
        </w:tabs>
      </w:pPr>
      <w:r w:rsidRPr="00B47FD5">
        <w:t>Nadalje, od ukupno 111 naloga i preporuka danih u prošlim revizijama, provedena su 74 ili 66,7 % naloga i preporuka, nije provedeno 16 ili 14,4 %, djelomično je provedeno 13 ili     11,7 %, a zbog promijenjenih propisa i izmijenjenih okolnosti, nije primjenjivo osam ili 7,2 % naloga i preporuka.</w:t>
      </w:r>
    </w:p>
    <w:p w14:paraId="10765A5A" w14:textId="77777777" w:rsidR="00602D53" w:rsidRPr="00B47FD5" w:rsidRDefault="00602D53" w:rsidP="00E275AD">
      <w:pPr>
        <w:tabs>
          <w:tab w:val="left" w:pos="284"/>
          <w:tab w:val="left" w:pos="567"/>
          <w:tab w:val="left" w:pos="851"/>
        </w:tabs>
      </w:pPr>
    </w:p>
    <w:p w14:paraId="2774EEC3" w14:textId="77777777" w:rsidR="00B52A58" w:rsidRDefault="00B52A58" w:rsidP="00E275AD">
      <w:pPr>
        <w:tabs>
          <w:tab w:val="left" w:pos="284"/>
          <w:tab w:val="left" w:pos="567"/>
          <w:tab w:val="left" w:pos="851"/>
        </w:tabs>
      </w:pPr>
    </w:p>
    <w:p w14:paraId="4BF86DEE" w14:textId="7DAF4EF8" w:rsidR="000C2CD7" w:rsidRPr="002B2252" w:rsidRDefault="000C2CD7" w:rsidP="00E275AD">
      <w:pPr>
        <w:shd w:val="clear" w:color="auto" w:fill="D9D9D9" w:themeFill="background1" w:themeFillShade="D9"/>
        <w:tabs>
          <w:tab w:val="left" w:pos="284"/>
          <w:tab w:val="left" w:pos="567"/>
          <w:tab w:val="left" w:pos="851"/>
        </w:tabs>
        <w:ind w:left="567" w:hanging="567"/>
        <w:rPr>
          <w:rFonts w:cs="Arial"/>
          <w:b/>
        </w:rPr>
      </w:pPr>
      <w:r>
        <w:rPr>
          <w:rFonts w:cs="Arial"/>
          <w:b/>
        </w:rPr>
        <w:t>JEDINICE LOKALNE</w:t>
      </w:r>
      <w:r w:rsidR="00B52A58">
        <w:rPr>
          <w:rFonts w:cs="Arial"/>
          <w:b/>
        </w:rPr>
        <w:t xml:space="preserve"> I </w:t>
      </w:r>
      <w:r w:rsidR="00B52A58" w:rsidRPr="00B52A58">
        <w:rPr>
          <w:rFonts w:cs="Arial"/>
          <w:b/>
        </w:rPr>
        <w:t>PODRUČNE (REGIONALNE) SAMOUPRAVE</w:t>
      </w:r>
      <w:r w:rsidR="00B52A58">
        <w:rPr>
          <w:rFonts w:cs="Arial"/>
          <w:b/>
        </w:rPr>
        <w:t xml:space="preserve"> </w:t>
      </w:r>
    </w:p>
    <w:p w14:paraId="149E1B0E" w14:textId="77777777" w:rsidR="00602D53" w:rsidRDefault="00602D53" w:rsidP="00E275AD">
      <w:pPr>
        <w:ind w:right="-1"/>
        <w:rPr>
          <w:rFonts w:cs="Arial"/>
          <w:color w:val="000000" w:themeColor="text1"/>
        </w:rPr>
      </w:pPr>
    </w:p>
    <w:p w14:paraId="1080A887" w14:textId="77777777" w:rsidR="003958EE" w:rsidRPr="00C93209" w:rsidRDefault="00C93209" w:rsidP="00E275AD">
      <w:pPr>
        <w:rPr>
          <w:rFonts w:eastAsiaTheme="minorHAnsi" w:cs="Arial"/>
        </w:rPr>
      </w:pPr>
      <w:r w:rsidRPr="00C93209">
        <w:rPr>
          <w:rFonts w:cs="Arial"/>
          <w:color w:val="000000" w:themeColor="text1"/>
        </w:rPr>
        <w:t xml:space="preserve">U izvještajnom razdoblju </w:t>
      </w:r>
      <w:r w:rsidR="00602D53">
        <w:rPr>
          <w:rFonts w:cs="Arial"/>
          <w:color w:val="000000" w:themeColor="text1"/>
        </w:rPr>
        <w:t xml:space="preserve">2025. </w:t>
      </w:r>
      <w:r w:rsidR="00B52A58">
        <w:rPr>
          <w:rFonts w:cs="Arial"/>
          <w:color w:val="000000" w:themeColor="text1"/>
        </w:rPr>
        <w:t>obavljene su</w:t>
      </w:r>
      <w:r w:rsidRPr="00C93209">
        <w:rPr>
          <w:rFonts w:cs="Arial"/>
          <w:color w:val="000000" w:themeColor="text1"/>
        </w:rPr>
        <w:t xml:space="preserve"> financijske revizije </w:t>
      </w:r>
      <w:r w:rsidRPr="00C93209">
        <w:rPr>
          <w:rFonts w:cs="Arial"/>
          <w:b/>
          <w:color w:val="000000" w:themeColor="text1"/>
        </w:rPr>
        <w:t>46 jedinica lokalne i područne (regionalne) samouprave (dalje u tekstu: lokalne jedinice)</w:t>
      </w:r>
      <w:r w:rsidR="003958EE" w:rsidRPr="009F1386">
        <w:rPr>
          <w:rFonts w:cs="Arial"/>
          <w:color w:val="000000" w:themeColor="text1"/>
        </w:rPr>
        <w:t>.</w:t>
      </w:r>
      <w:r w:rsidR="003958EE">
        <w:rPr>
          <w:rFonts w:cs="Arial"/>
          <w:b/>
          <w:color w:val="000000" w:themeColor="text1"/>
        </w:rPr>
        <w:t xml:space="preserve"> </w:t>
      </w:r>
      <w:r w:rsidR="003958EE">
        <w:rPr>
          <w:rFonts w:cs="Arial"/>
          <w:color w:val="000000" w:themeColor="text1"/>
        </w:rPr>
        <w:t>Revizijom su obuhvaćeni financijski izvještaji i poslovanje za 2023. (21 lokalna jedinica</w:t>
      </w:r>
      <w:r w:rsidR="003958EE">
        <w:rPr>
          <w:rFonts w:eastAsia="Calibri" w:cs="Arial"/>
          <w:lang w:eastAsia="en-US"/>
        </w:rPr>
        <w:t>), odnosno za 2024. (25 lokalnih jedinica).</w:t>
      </w:r>
    </w:p>
    <w:p w14:paraId="32CDFE9D" w14:textId="77777777" w:rsidR="00F95B27" w:rsidRDefault="00F95B27" w:rsidP="00E275AD">
      <w:pPr>
        <w:ind w:right="-1" w:firstLine="567"/>
        <w:rPr>
          <w:rFonts w:cs="Arial"/>
          <w:color w:val="000000" w:themeColor="text1"/>
        </w:rPr>
      </w:pPr>
    </w:p>
    <w:p w14:paraId="23AD9006" w14:textId="38581CEE" w:rsidR="00C93209" w:rsidRPr="00C93209" w:rsidRDefault="00C93209" w:rsidP="00E275AD">
      <w:pPr>
        <w:ind w:right="-1"/>
        <w:rPr>
          <w:rFonts w:cs="Arial"/>
          <w:b/>
          <w:color w:val="000000" w:themeColor="text1"/>
        </w:rPr>
      </w:pPr>
      <w:r w:rsidRPr="00C93209">
        <w:rPr>
          <w:rFonts w:eastAsia="Calibri" w:cs="Arial"/>
          <w:b/>
          <w:color w:val="000000" w:themeColor="text1"/>
        </w:rPr>
        <w:t xml:space="preserve">O financijskim izvještajima izraženo je 13 bezuvjetnih, 31 uvjetno te dva nepovoljna mišljenja. O usklađenosti poslovanja lokalnih jedinica izraženo je </w:t>
      </w:r>
      <w:r w:rsidRPr="00C93209">
        <w:rPr>
          <w:rFonts w:cs="Arial"/>
          <w:b/>
          <w:color w:val="000000" w:themeColor="text1"/>
        </w:rPr>
        <w:t xml:space="preserve">18 bezuvjetnih i 28 uvjetnih mišljenja. </w:t>
      </w:r>
    </w:p>
    <w:p w14:paraId="547AF87E" w14:textId="77777777" w:rsidR="00C93209" w:rsidRPr="00C93209" w:rsidRDefault="00C93209" w:rsidP="00E275AD">
      <w:pPr>
        <w:kinsoku w:val="0"/>
        <w:overflowPunct w:val="0"/>
        <w:ind w:right="-1" w:firstLine="567"/>
        <w:rPr>
          <w:rFonts w:cs="Arial"/>
          <w:color w:val="000000" w:themeColor="text1"/>
        </w:rPr>
      </w:pPr>
    </w:p>
    <w:p w14:paraId="0C9BCA1A" w14:textId="77777777" w:rsidR="00C93209" w:rsidRPr="00C93209" w:rsidRDefault="00C93209" w:rsidP="00E275AD">
      <w:pPr>
        <w:kinsoku w:val="0"/>
        <w:overflowPunct w:val="0"/>
        <w:ind w:right="-1"/>
        <w:rPr>
          <w:rFonts w:cs="Arial"/>
          <w:color w:val="000000" w:themeColor="text1"/>
        </w:rPr>
      </w:pPr>
      <w:r w:rsidRPr="00C93209">
        <w:rPr>
          <w:rFonts w:cs="Arial"/>
          <w:color w:val="000000" w:themeColor="text1"/>
        </w:rPr>
        <w:t xml:space="preserve">Financijskom revizijom lokalnih jedinica utvrđene su nepravilnosti i propusti u području sustava unutarnjih kontrola, planiranja i izvršenja proračuna, računovodstvenog poslovanja i financijskog izvještavanja, prihoda i potraživanja, rashoda, javne nabave te upravljanja imovinom. </w:t>
      </w:r>
    </w:p>
    <w:p w14:paraId="4FA4F021" w14:textId="77777777" w:rsidR="00C93209" w:rsidRPr="00C93209" w:rsidRDefault="00C93209" w:rsidP="00E275AD">
      <w:pPr>
        <w:tabs>
          <w:tab w:val="left" w:pos="284"/>
          <w:tab w:val="left" w:pos="567"/>
          <w:tab w:val="left" w:pos="851"/>
        </w:tabs>
        <w:rPr>
          <w:rFonts w:cs="Arial"/>
          <w:color w:val="000000" w:themeColor="text1"/>
        </w:rPr>
      </w:pPr>
    </w:p>
    <w:p w14:paraId="059D1408" w14:textId="77777777" w:rsidR="00C93209" w:rsidRPr="00C93209" w:rsidRDefault="00C93209" w:rsidP="00E275AD">
      <w:pPr>
        <w:ind w:firstLine="567"/>
        <w:rPr>
          <w:rFonts w:cs="Arial"/>
          <w:color w:val="000000" w:themeColor="text1"/>
        </w:rPr>
      </w:pPr>
      <w:r w:rsidRPr="00C93209">
        <w:rPr>
          <w:rFonts w:cs="Arial"/>
          <w:color w:val="000000" w:themeColor="text1"/>
        </w:rPr>
        <w:t>U nastavku se navode značajnije nepravilnosti utvrđene revizijom:</w:t>
      </w:r>
    </w:p>
    <w:p w14:paraId="76163BEA" w14:textId="0EB359A6" w:rsidR="00D71DE9" w:rsidRPr="00D71DE9" w:rsidRDefault="009F1386" w:rsidP="00E275AD">
      <w:pPr>
        <w:numPr>
          <w:ilvl w:val="0"/>
          <w:numId w:val="16"/>
        </w:numPr>
        <w:overflowPunct w:val="0"/>
        <w:ind w:left="567" w:right="-1" w:hanging="567"/>
        <w:contextualSpacing/>
        <w:textAlignment w:val="baseline"/>
        <w:rPr>
          <w:rFonts w:cs="Arial"/>
          <w:bCs/>
          <w:color w:val="000000" w:themeColor="text1"/>
        </w:rPr>
      </w:pPr>
      <w:r>
        <w:rPr>
          <w:rFonts w:cs="Arial"/>
          <w:bCs/>
          <w:color w:val="000000" w:themeColor="text1"/>
        </w:rPr>
        <w:t>R</w:t>
      </w:r>
      <w:r w:rsidR="00C93209" w:rsidRPr="00C93209">
        <w:rPr>
          <w:rFonts w:cs="Arial"/>
          <w:bCs/>
          <w:color w:val="000000" w:themeColor="text1"/>
        </w:rPr>
        <w:t xml:space="preserve">egistar rizika nije ustrojen; etički kodeks kojim se trebaju urediti etičke vrijednosti i načela koje bi zaposlenici i dužnosnici primjenjivali u međusobnim odnosima, u odnosu prema radu i prema građanima nije donesen; </w:t>
      </w:r>
      <w:r w:rsidR="00C93209" w:rsidRPr="00C93209">
        <w:rPr>
          <w:rFonts w:eastAsiaTheme="minorHAnsi" w:cs="Arial"/>
          <w:bCs/>
          <w:color w:val="000000" w:themeColor="text1"/>
          <w:lang w:eastAsia="en-US"/>
        </w:rPr>
        <w:t>pri donošenju općih akata odnosno drugih strateških ili planskih dokumenata kad se njima utječe na interese građana i pravnih osoba nije provedeno javno savjetovanje; godišnji plan savjetovanja s javnošću nije donesen</w:t>
      </w:r>
      <w:r>
        <w:rPr>
          <w:rFonts w:eastAsiaTheme="minorHAnsi" w:cs="Arial"/>
          <w:bCs/>
          <w:color w:val="000000" w:themeColor="text1"/>
          <w:lang w:eastAsia="en-US"/>
        </w:rPr>
        <w:t>.</w:t>
      </w:r>
      <w:r w:rsidR="00C93209" w:rsidRPr="00C93209">
        <w:rPr>
          <w:rFonts w:asciiTheme="minorHAnsi" w:eastAsiaTheme="minorHAnsi" w:hAnsiTheme="minorHAnsi" w:cs="Arial"/>
          <w:bCs/>
          <w:color w:val="000000" w:themeColor="text1"/>
          <w:sz w:val="22"/>
          <w:szCs w:val="22"/>
          <w:lang w:eastAsia="en-US"/>
        </w:rPr>
        <w:t xml:space="preserve"> </w:t>
      </w:r>
    </w:p>
    <w:p w14:paraId="4E056503" w14:textId="50EF341E" w:rsidR="00D71DE9" w:rsidRPr="00D71DE9" w:rsidRDefault="009F1386" w:rsidP="00E275AD">
      <w:pPr>
        <w:numPr>
          <w:ilvl w:val="0"/>
          <w:numId w:val="16"/>
        </w:numPr>
        <w:overflowPunct w:val="0"/>
        <w:ind w:left="567" w:right="-1"/>
        <w:contextualSpacing/>
        <w:textAlignment w:val="baseline"/>
        <w:rPr>
          <w:rFonts w:cs="Arial"/>
          <w:bCs/>
          <w:color w:val="000000" w:themeColor="text1"/>
        </w:rPr>
      </w:pPr>
      <w:r>
        <w:rPr>
          <w:rFonts w:cs="Arial"/>
          <w:bCs/>
          <w:color w:val="000000" w:themeColor="text1"/>
        </w:rPr>
        <w:t>O</w:t>
      </w:r>
      <w:r w:rsidR="00D71DE9" w:rsidRPr="00D71DE9">
        <w:rPr>
          <w:rFonts w:cs="Arial"/>
          <w:bCs/>
          <w:color w:val="000000" w:themeColor="text1"/>
        </w:rPr>
        <w:t>stvareni prihodi i rashodi značajno odstupaju od planiranih; izvješće o provedbi provedbenog programa nije sastavljeno ili je sastavljeno, ali nije podneseno regionalnom koordinatoru te nije objavljeno na mrežnim stranicama lokalne jedinice; proračuni nisu sveobuhvatni jer nisu sastavljeni prema propisanim proračunskim klasifikacijama, ne sadrže podatke o višku/manjku prihoda iz prethodnog razdoblja te cjelovita obrazloženja općeg i posebnog dijela proračuna; višegodišnji plan uravnoteženja nije donesen iako se ukupni višak prihoda nije mogao u cijelosti iskoristiti odnosno ukupni manjak u cijelosti podmiriti do kraja tekuće godine.</w:t>
      </w:r>
    </w:p>
    <w:p w14:paraId="4000F83C" w14:textId="41A50463" w:rsidR="00C93209" w:rsidRPr="00D71DE9" w:rsidRDefault="009F1386" w:rsidP="00E275AD">
      <w:pPr>
        <w:numPr>
          <w:ilvl w:val="0"/>
          <w:numId w:val="16"/>
        </w:numPr>
        <w:overflowPunct w:val="0"/>
        <w:ind w:left="567" w:right="-1" w:hanging="567"/>
        <w:contextualSpacing/>
        <w:textAlignment w:val="baseline"/>
        <w:rPr>
          <w:rFonts w:cs="Arial"/>
          <w:bCs/>
          <w:color w:val="000000" w:themeColor="text1"/>
        </w:rPr>
      </w:pPr>
      <w:r>
        <w:rPr>
          <w:rFonts w:cs="Arial"/>
          <w:color w:val="000000" w:themeColor="text1"/>
        </w:rPr>
        <w:lastRenderedPageBreak/>
        <w:t>P</w:t>
      </w:r>
      <w:r w:rsidR="00C93209" w:rsidRPr="00D71DE9">
        <w:rPr>
          <w:rFonts w:cs="Arial"/>
          <w:color w:val="000000" w:themeColor="text1"/>
        </w:rPr>
        <w:t>ojedine obvezne analitičke knjigovodstvene evidencije se ne vode ili se vode</w:t>
      </w:r>
      <w:r>
        <w:rPr>
          <w:rFonts w:cs="Arial"/>
          <w:color w:val="000000" w:themeColor="text1"/>
        </w:rPr>
        <w:t>,</w:t>
      </w:r>
      <w:r w:rsidR="00C93209" w:rsidRPr="00D71DE9">
        <w:rPr>
          <w:rFonts w:cs="Arial"/>
          <w:color w:val="000000" w:themeColor="text1"/>
        </w:rPr>
        <w:t xml:space="preserve"> ali podaci nisu usklađeni s podacima evidentiranim u glavnoj knjizi; evidentiranje pojedinih rashoda u poslovnim knjigama nije temeljeno na urednim i vjerodostojnim knjigovodstvenim ispravama te se ne može potvrditi da je poslovni događaj nastao; određeni prihodi, rashodi, potraživanja i obveze nisu evidentirani na propisanim računima Računskog plana, a određeni rashodi i imovina uz primjenu modificiranog načela nastanka događaja; pojedina imovina nema procijenjenu vrijednost te nije evidentirana u poslovnim knjigama: pojedina potraživanja nisu evidentirana, ispravak vrijednosti potraživanja nije obavljen; izvanbilančni zapisi ne sadrže sve potrebne podatke </w:t>
      </w:r>
      <w:r>
        <w:rPr>
          <w:rFonts w:cs="Arial"/>
          <w:color w:val="000000" w:themeColor="text1"/>
        </w:rPr>
        <w:t>koji</w:t>
      </w:r>
      <w:r w:rsidR="00C93209" w:rsidRPr="00D71DE9">
        <w:rPr>
          <w:rFonts w:cs="Arial"/>
          <w:color w:val="000000" w:themeColor="text1"/>
        </w:rPr>
        <w:t xml:space="preserve"> se odnose na instrumente osiguranja plaćanja, potencijalne obveze po sudskim sporovima u tijeku i tuđu imovinu dobivenu na korištenje; popis imovine i obveza nije obavljen u skladu s propisima te nije postignuta osnovna svrha popisa (utvrđivanje stvarnog stanja te usklađenje knjigovodstvenog sa stvarnim stanjem)</w:t>
      </w:r>
      <w:r>
        <w:rPr>
          <w:rFonts w:cs="Arial"/>
          <w:color w:val="000000" w:themeColor="text1"/>
        </w:rPr>
        <w:t>.</w:t>
      </w:r>
      <w:r w:rsidR="00C93209" w:rsidRPr="00D71DE9">
        <w:rPr>
          <w:rFonts w:cs="Arial"/>
          <w:color w:val="000000" w:themeColor="text1"/>
        </w:rPr>
        <w:t xml:space="preserve"> </w:t>
      </w:r>
    </w:p>
    <w:p w14:paraId="003FEEF7" w14:textId="6963FC8B" w:rsidR="00C93209" w:rsidRPr="00C93209" w:rsidRDefault="009F1386" w:rsidP="00E275AD">
      <w:pPr>
        <w:numPr>
          <w:ilvl w:val="0"/>
          <w:numId w:val="18"/>
        </w:numPr>
        <w:kinsoku w:val="0"/>
        <w:overflowPunct w:val="0"/>
        <w:ind w:left="567" w:right="-1" w:hanging="567"/>
        <w:rPr>
          <w:rFonts w:cs="Arial"/>
          <w:color w:val="000000" w:themeColor="text1"/>
        </w:rPr>
      </w:pPr>
      <w:r>
        <w:rPr>
          <w:rFonts w:cs="Arial"/>
          <w:color w:val="000000" w:themeColor="text1"/>
        </w:rPr>
        <w:t>P</w:t>
      </w:r>
      <w:r w:rsidR="00C93209" w:rsidRPr="00C93209">
        <w:rPr>
          <w:rFonts w:cs="Arial"/>
          <w:color w:val="000000" w:themeColor="text1"/>
        </w:rPr>
        <w:t>odaci o dospjelim i nedospjelim potraživanjima i obvezama nisu točno iskazani u financijskim izvještajima; bilješke sastavljene uz financijske izvještaje nisu cjelovite</w:t>
      </w:r>
      <w:r>
        <w:rPr>
          <w:rFonts w:cs="Arial"/>
          <w:color w:val="000000" w:themeColor="text1"/>
        </w:rPr>
        <w:t>.</w:t>
      </w:r>
    </w:p>
    <w:p w14:paraId="2FBF330D" w14:textId="27036C80" w:rsidR="00C93209" w:rsidRPr="00C93209" w:rsidRDefault="009F1386" w:rsidP="00E275AD">
      <w:pPr>
        <w:numPr>
          <w:ilvl w:val="0"/>
          <w:numId w:val="17"/>
        </w:numPr>
        <w:kinsoku w:val="0"/>
        <w:overflowPunct w:val="0"/>
        <w:ind w:left="567" w:right="-1" w:hanging="567"/>
        <w:contextualSpacing/>
        <w:rPr>
          <w:rFonts w:cs="Arial"/>
          <w:color w:val="000000" w:themeColor="text1"/>
        </w:rPr>
      </w:pPr>
      <w:r>
        <w:rPr>
          <w:rFonts w:cs="Arial"/>
          <w:bCs/>
          <w:color w:val="000000" w:themeColor="text1"/>
        </w:rPr>
        <w:t>P</w:t>
      </w:r>
      <w:r w:rsidR="00C93209" w:rsidRPr="00C93209">
        <w:rPr>
          <w:rFonts w:cs="Arial"/>
          <w:bCs/>
          <w:color w:val="000000" w:themeColor="text1"/>
        </w:rPr>
        <w:t>rogram korištenja namjenskih prihoda</w:t>
      </w:r>
      <w:r w:rsidR="00C93209" w:rsidRPr="00C93209">
        <w:rPr>
          <w:rFonts w:eastAsia="Calibri" w:cs="Arial"/>
          <w:color w:val="000000" w:themeColor="text1"/>
        </w:rPr>
        <w:t xml:space="preserve"> </w:t>
      </w:r>
      <w:r w:rsidR="00C93209" w:rsidRPr="00C93209">
        <w:rPr>
          <w:rFonts w:cs="Arial"/>
          <w:bCs/>
          <w:color w:val="000000" w:themeColor="text1"/>
        </w:rPr>
        <w:t xml:space="preserve">od zakupa i prodaje poljoprivrednog zemljišta u vlasništvu Republike Hrvatske nije donesen; </w:t>
      </w:r>
      <w:r w:rsidR="00C93209" w:rsidRPr="00C93209">
        <w:rPr>
          <w:rFonts w:cs="Arial"/>
          <w:color w:val="000000" w:themeColor="text1"/>
        </w:rPr>
        <w:t xml:space="preserve">pojedini prihodi nisu ostvareni jer nisu poduzete aktivnosti u vezi </w:t>
      </w:r>
      <w:r>
        <w:rPr>
          <w:rFonts w:cs="Arial"/>
          <w:color w:val="000000" w:themeColor="text1"/>
        </w:rPr>
        <w:t>s njihovim obračunom</w:t>
      </w:r>
      <w:r w:rsidR="00C93209" w:rsidRPr="00C93209">
        <w:rPr>
          <w:rFonts w:cs="Arial"/>
          <w:color w:val="000000" w:themeColor="text1"/>
        </w:rPr>
        <w:t xml:space="preserve"> (rješenja o obvezi plaćanja nisu ispostavljena);</w:t>
      </w:r>
      <w:r w:rsidR="00C93209" w:rsidRPr="00C93209">
        <w:rPr>
          <w:rFonts w:cs="Arial"/>
          <w:bCs/>
          <w:color w:val="000000" w:themeColor="text1"/>
        </w:rPr>
        <w:t xml:space="preserve"> mjere za potpunu i pravodobnu naplatu dospjelih potraživanja nisu poduzimane</w:t>
      </w:r>
      <w:r>
        <w:rPr>
          <w:rFonts w:cs="Arial"/>
          <w:bCs/>
          <w:color w:val="000000" w:themeColor="text1"/>
        </w:rPr>
        <w:t>.</w:t>
      </w:r>
    </w:p>
    <w:p w14:paraId="551651D7" w14:textId="11A5518B" w:rsidR="00C93209" w:rsidRPr="00C93209" w:rsidRDefault="009F1386" w:rsidP="00E275AD">
      <w:pPr>
        <w:numPr>
          <w:ilvl w:val="0"/>
          <w:numId w:val="17"/>
        </w:numPr>
        <w:tabs>
          <w:tab w:val="left" w:pos="567"/>
        </w:tabs>
        <w:ind w:left="567" w:right="-1" w:hanging="567"/>
        <w:rPr>
          <w:rFonts w:cs="Arial"/>
          <w:color w:val="000000" w:themeColor="text1"/>
        </w:rPr>
      </w:pPr>
      <w:r>
        <w:rPr>
          <w:rFonts w:cs="Arial"/>
          <w:color w:val="000000" w:themeColor="text1"/>
        </w:rPr>
        <w:t>Z</w:t>
      </w:r>
      <w:r w:rsidR="00C93209" w:rsidRPr="00C93209">
        <w:rPr>
          <w:rFonts w:cs="Arial"/>
          <w:color w:val="000000" w:themeColor="text1"/>
        </w:rPr>
        <w:t>a obračun i isplatu novčanih nagrada za radne rezultate nisu utvrđeni kriteriji i mjerila ili su utvrđeni samo opisni kriteriji</w:t>
      </w:r>
      <w:r>
        <w:rPr>
          <w:rFonts w:cs="Arial"/>
          <w:color w:val="000000" w:themeColor="text1"/>
        </w:rPr>
        <w:t>.</w:t>
      </w:r>
      <w:r w:rsidR="00C93209" w:rsidRPr="00C93209">
        <w:rPr>
          <w:rFonts w:cs="Arial"/>
          <w:color w:val="000000" w:themeColor="text1"/>
        </w:rPr>
        <w:t xml:space="preserve"> </w:t>
      </w:r>
    </w:p>
    <w:p w14:paraId="544E7E58" w14:textId="26C8F848" w:rsidR="00C93209" w:rsidRPr="00C93209" w:rsidRDefault="009F1386" w:rsidP="00E275AD">
      <w:pPr>
        <w:numPr>
          <w:ilvl w:val="0"/>
          <w:numId w:val="17"/>
        </w:numPr>
        <w:tabs>
          <w:tab w:val="left" w:pos="567"/>
        </w:tabs>
        <w:ind w:left="567" w:right="-1" w:hanging="567"/>
        <w:rPr>
          <w:rFonts w:cs="Arial"/>
          <w:color w:val="000000" w:themeColor="text1"/>
        </w:rPr>
      </w:pPr>
      <w:r>
        <w:rPr>
          <w:rFonts w:cs="Arial"/>
          <w:color w:val="000000" w:themeColor="text1"/>
        </w:rPr>
        <w:t>P</w:t>
      </w:r>
      <w:r w:rsidR="00C93209" w:rsidRPr="00C93209">
        <w:rPr>
          <w:rFonts w:cs="Arial"/>
          <w:color w:val="000000" w:themeColor="text1"/>
        </w:rPr>
        <w:t>rogrami održavanja i programi građenja komunalne infrastrukture pojedinih lokalnih jedinica ne sadrže propisane elemente; iako su proračunom bila osigurana sredstva, ulaganja u građenje komunalne infrastrukture ostvarena su u znatno manjem opsegu od planiranih jer nisu pravodobno poduzimane aktivnosti na pripremi i ugovaranju radova; postupci odabira pri povjeravanju obavljanja poslova komunalnih djelatnosti nisu provedeni u skladu sa Zakonom o komunalnom gospodarstvu i odlukom lokalne jedinice; ugovori s trgovačkim društvima kojima je povjereno obavljanje komunalnih djelatnosti nisu zaključeni; godišnja izvješća o izvršenju programa održavanja i programa građenja komunalne infrastrukture nisu sastavljena niti podnesena predstavničkom tijelu</w:t>
      </w:r>
      <w:r>
        <w:rPr>
          <w:rFonts w:cs="Arial"/>
          <w:color w:val="000000" w:themeColor="text1"/>
        </w:rPr>
        <w:t>.</w:t>
      </w:r>
      <w:r w:rsidR="00C93209" w:rsidRPr="00C93209">
        <w:rPr>
          <w:rFonts w:cs="Arial"/>
          <w:color w:val="000000" w:themeColor="text1"/>
        </w:rPr>
        <w:t xml:space="preserve"> </w:t>
      </w:r>
    </w:p>
    <w:p w14:paraId="6251DC9E" w14:textId="466B8209" w:rsidR="00C93209" w:rsidRPr="00C93209" w:rsidRDefault="009F1386" w:rsidP="00E275AD">
      <w:pPr>
        <w:numPr>
          <w:ilvl w:val="0"/>
          <w:numId w:val="17"/>
        </w:numPr>
        <w:tabs>
          <w:tab w:val="left" w:pos="567"/>
        </w:tabs>
        <w:ind w:left="567" w:right="-1" w:hanging="567"/>
        <w:contextualSpacing/>
        <w:rPr>
          <w:rFonts w:asciiTheme="minorHAnsi" w:eastAsiaTheme="minorHAnsi" w:hAnsiTheme="minorHAnsi" w:cs="Arial"/>
          <w:color w:val="000000" w:themeColor="text1"/>
          <w:sz w:val="22"/>
          <w:szCs w:val="22"/>
          <w:lang w:eastAsia="en-US"/>
        </w:rPr>
      </w:pPr>
      <w:r>
        <w:rPr>
          <w:rFonts w:cs="Arial"/>
          <w:color w:val="000000" w:themeColor="text1"/>
        </w:rPr>
        <w:t>Z</w:t>
      </w:r>
      <w:r w:rsidR="00C93209" w:rsidRPr="00C93209">
        <w:rPr>
          <w:rFonts w:cs="Arial"/>
          <w:color w:val="000000" w:themeColor="text1"/>
        </w:rPr>
        <w:t xml:space="preserve">a dodjelu sredstava za financiranje programskih sadržaja elektroničkih medija nisu objavljeni javni pozivi ili su objavljeni pozivi koji sadržavaju opisne kriterije za ocjenjivanje prijava; </w:t>
      </w:r>
      <w:r w:rsidR="00C93209" w:rsidRPr="00C93209">
        <w:rPr>
          <w:rFonts w:eastAsiaTheme="minorHAnsi" w:cs="Arial"/>
          <w:color w:val="000000" w:themeColor="text1"/>
          <w:lang w:eastAsia="en-US"/>
        </w:rPr>
        <w:t>za dodjelu sredstava za financiranje programa/projekata koje provode udruge nisu utvrđeni kriteriji, mjerila i postupci pri financiranju programa i/ili projekata od interesa za opće dobro, nisu objavljeni javni natječaji niti su s korisnicima sredstava zaključeni ugovori; nije provjereno namjensko korištenje dodijeljenih sredstava; na mrežnim stranicama lokalnih jedinica nisu objavljene informacije o dodijeljenim donacijama; programi javnih potreba nisu doneseni, iako su proračunskim sredstvima financirane programske aktivnosti udruga iz područja sporta i kulture</w:t>
      </w:r>
      <w:r w:rsidR="00076E73">
        <w:rPr>
          <w:rFonts w:asciiTheme="minorHAnsi" w:eastAsiaTheme="minorHAnsi" w:hAnsiTheme="minorHAnsi" w:cs="Arial"/>
          <w:color w:val="000000" w:themeColor="text1"/>
          <w:sz w:val="22"/>
          <w:szCs w:val="22"/>
          <w:lang w:eastAsia="en-US"/>
        </w:rPr>
        <w:t>.</w:t>
      </w:r>
      <w:r w:rsidR="00C93209" w:rsidRPr="00C93209">
        <w:rPr>
          <w:rFonts w:asciiTheme="minorHAnsi" w:eastAsiaTheme="minorHAnsi" w:hAnsiTheme="minorHAnsi" w:cs="Arial"/>
          <w:color w:val="000000" w:themeColor="text1"/>
          <w:sz w:val="22"/>
          <w:szCs w:val="22"/>
          <w:lang w:eastAsia="en-US"/>
        </w:rPr>
        <w:t xml:space="preserve"> </w:t>
      </w:r>
    </w:p>
    <w:p w14:paraId="798993C1" w14:textId="46A76B37" w:rsidR="00C93209" w:rsidRDefault="009F1386" w:rsidP="00E275AD">
      <w:pPr>
        <w:numPr>
          <w:ilvl w:val="0"/>
          <w:numId w:val="17"/>
        </w:numPr>
        <w:kinsoku w:val="0"/>
        <w:overflowPunct w:val="0"/>
        <w:ind w:left="567" w:right="-1" w:hanging="567"/>
        <w:contextualSpacing/>
        <w:rPr>
          <w:rFonts w:eastAsiaTheme="minorHAnsi" w:cs="Arial"/>
          <w:color w:val="000000" w:themeColor="text1"/>
          <w:lang w:eastAsia="en-US"/>
        </w:rPr>
      </w:pPr>
      <w:r>
        <w:rPr>
          <w:rFonts w:cs="Arial"/>
          <w:color w:val="000000" w:themeColor="text1"/>
        </w:rPr>
        <w:t>P</w:t>
      </w:r>
      <w:r w:rsidR="00C93209" w:rsidRPr="00C93209">
        <w:rPr>
          <w:rFonts w:cs="Arial"/>
          <w:color w:val="000000" w:themeColor="text1"/>
        </w:rPr>
        <w:t>lan nabave donijele su sve lokalne jedinice; iako su tijekom godine donijele i po nekoliko izmjena i dopuna, planovi nabave nisu sastavljeni u skladu sa stvarnim potrebama lokalnih jedinica; pojedini predmeti nabave nisu jasno određeni jer su opisani općenitim nazivom; izmjenama i dopunama plana nabave nisu vidljivo naznačene</w:t>
      </w:r>
      <w:r>
        <w:rPr>
          <w:rFonts w:cs="Arial"/>
          <w:color w:val="000000" w:themeColor="text1"/>
        </w:rPr>
        <w:t xml:space="preserve"> promjene u odnosu na plan nabave</w:t>
      </w:r>
      <w:r w:rsidR="00C93209" w:rsidRPr="00C93209">
        <w:rPr>
          <w:rFonts w:cs="Arial"/>
          <w:color w:val="000000" w:themeColor="text1"/>
        </w:rPr>
        <w:t xml:space="preserve"> te nisu planirani pojedini predmeti nabave; </w:t>
      </w:r>
      <w:r w:rsidR="00C93209" w:rsidRPr="00C93209">
        <w:rPr>
          <w:rFonts w:eastAsiaTheme="minorHAnsi" w:cs="Arial"/>
          <w:color w:val="000000" w:themeColor="text1"/>
          <w:lang w:eastAsia="en-US"/>
        </w:rPr>
        <w:t>manji broj lokalnih jedinica nije provodio postupke jednostavne ili javne nabave jer su izravno nabavljene pojedine robe i usluge, a za nabavu pojedinih roba i radova provedeni su postupci jednostavne nabave umjesto postupaka javne nabave</w:t>
      </w:r>
      <w:r>
        <w:rPr>
          <w:rFonts w:eastAsiaTheme="minorHAnsi" w:cs="Arial"/>
          <w:color w:val="000000" w:themeColor="text1"/>
          <w:lang w:eastAsia="en-US"/>
        </w:rPr>
        <w:t>.</w:t>
      </w:r>
    </w:p>
    <w:p w14:paraId="0AE85802" w14:textId="0E850744" w:rsidR="00C11D1D" w:rsidRDefault="00C11D1D" w:rsidP="00C11D1D">
      <w:pPr>
        <w:kinsoku w:val="0"/>
        <w:overflowPunct w:val="0"/>
        <w:ind w:right="-1"/>
        <w:contextualSpacing/>
        <w:rPr>
          <w:rFonts w:eastAsiaTheme="minorHAnsi" w:cs="Arial"/>
          <w:color w:val="000000" w:themeColor="text1"/>
          <w:lang w:eastAsia="en-US"/>
        </w:rPr>
      </w:pPr>
    </w:p>
    <w:p w14:paraId="20747A92" w14:textId="2F8EF5BA" w:rsidR="00C11D1D" w:rsidRDefault="00C11D1D" w:rsidP="00C11D1D">
      <w:pPr>
        <w:kinsoku w:val="0"/>
        <w:overflowPunct w:val="0"/>
        <w:ind w:right="-1"/>
        <w:contextualSpacing/>
        <w:rPr>
          <w:rFonts w:eastAsiaTheme="minorHAnsi" w:cs="Arial"/>
          <w:color w:val="000000" w:themeColor="text1"/>
          <w:lang w:eastAsia="en-US"/>
        </w:rPr>
      </w:pPr>
    </w:p>
    <w:p w14:paraId="1A75AD60" w14:textId="77777777" w:rsidR="00C11D1D" w:rsidRPr="00C93209" w:rsidRDefault="00C11D1D" w:rsidP="00C11D1D">
      <w:pPr>
        <w:kinsoku w:val="0"/>
        <w:overflowPunct w:val="0"/>
        <w:ind w:right="-1"/>
        <w:contextualSpacing/>
        <w:rPr>
          <w:rFonts w:eastAsiaTheme="minorHAnsi" w:cs="Arial"/>
          <w:color w:val="000000" w:themeColor="text1"/>
          <w:lang w:eastAsia="en-US"/>
        </w:rPr>
      </w:pPr>
    </w:p>
    <w:p w14:paraId="2DF644B5" w14:textId="1FC9038F" w:rsidR="00C93209" w:rsidRPr="00C93209" w:rsidRDefault="00C93209" w:rsidP="00E275AD">
      <w:pPr>
        <w:numPr>
          <w:ilvl w:val="0"/>
          <w:numId w:val="17"/>
        </w:numPr>
        <w:kinsoku w:val="0"/>
        <w:overflowPunct w:val="0"/>
        <w:ind w:left="567" w:right="-1" w:hanging="567"/>
        <w:rPr>
          <w:rFonts w:cs="Arial"/>
          <w:color w:val="000000" w:themeColor="text1"/>
        </w:rPr>
      </w:pPr>
      <w:r w:rsidRPr="00C93209">
        <w:rPr>
          <w:rFonts w:cs="Arial"/>
          <w:color w:val="000000" w:themeColor="text1"/>
        </w:rPr>
        <w:lastRenderedPageBreak/>
        <w:t>Registri ugovora o javnoj nabavi i okvirnih sporazuma ne sadrže podatke o pojedinim nabavama, nisu ažurirani redovito i ne sadrže neke obvezne elemente; nije vođena cjelovita evidencija nabave roba, radova i usluga zbog čega podaci o jednostavnim i javnim nabavama u statističkom izvješću o javnoj nabavi nisu točno iskazani</w:t>
      </w:r>
      <w:r w:rsidR="009F1386">
        <w:rPr>
          <w:rFonts w:cs="Arial"/>
          <w:color w:val="000000" w:themeColor="text1"/>
        </w:rPr>
        <w:t>.</w:t>
      </w:r>
    </w:p>
    <w:p w14:paraId="5BB69551" w14:textId="61316CF4" w:rsidR="00C93209" w:rsidRPr="00C93209" w:rsidRDefault="009F1386" w:rsidP="00E275AD">
      <w:pPr>
        <w:numPr>
          <w:ilvl w:val="0"/>
          <w:numId w:val="17"/>
        </w:numPr>
        <w:ind w:left="567" w:right="-1" w:hanging="567"/>
        <w:rPr>
          <w:rFonts w:cs="Arial"/>
          <w:color w:val="000000" w:themeColor="text1"/>
        </w:rPr>
      </w:pPr>
      <w:r>
        <w:rPr>
          <w:rFonts w:cs="Arial"/>
          <w:color w:val="000000" w:themeColor="text1"/>
        </w:rPr>
        <w:t>P</w:t>
      </w:r>
      <w:r w:rsidR="00C93209" w:rsidRPr="00C93209">
        <w:rPr>
          <w:rFonts w:cs="Arial"/>
          <w:color w:val="000000" w:themeColor="text1"/>
        </w:rPr>
        <w:t>ojedine lokalne jedinice nisu donijele strategiju upravljanja imovinom, godišnje planove upravljanja i raspolaganja imovi</w:t>
      </w:r>
      <w:r>
        <w:rPr>
          <w:rFonts w:cs="Arial"/>
          <w:color w:val="000000" w:themeColor="text1"/>
        </w:rPr>
        <w:t>nom</w:t>
      </w:r>
      <w:r w:rsidR="00C93209" w:rsidRPr="00C93209">
        <w:rPr>
          <w:rFonts w:cs="Arial"/>
          <w:color w:val="000000" w:themeColor="text1"/>
        </w:rPr>
        <w:t xml:space="preserve"> te izvještaje o provedbi strategije i godišnjeg izvješća o izvršenju godišnjih planova</w:t>
      </w:r>
      <w:r>
        <w:rPr>
          <w:rFonts w:cs="Arial"/>
          <w:color w:val="000000" w:themeColor="text1"/>
        </w:rPr>
        <w:t>.</w:t>
      </w:r>
      <w:r w:rsidR="00C93209" w:rsidRPr="00C93209">
        <w:rPr>
          <w:rFonts w:cs="Arial"/>
          <w:color w:val="000000" w:themeColor="text1"/>
        </w:rPr>
        <w:t xml:space="preserve"> </w:t>
      </w:r>
    </w:p>
    <w:p w14:paraId="068B1BCC" w14:textId="4F7F6445" w:rsidR="00C93209" w:rsidRPr="00C93209" w:rsidRDefault="009F1386" w:rsidP="00E275AD">
      <w:pPr>
        <w:numPr>
          <w:ilvl w:val="0"/>
          <w:numId w:val="17"/>
        </w:numPr>
        <w:overflowPunct w:val="0"/>
        <w:ind w:left="567" w:right="-1" w:hanging="567"/>
        <w:contextualSpacing/>
        <w:textAlignment w:val="baseline"/>
        <w:rPr>
          <w:rFonts w:cs="Arial"/>
          <w:color w:val="000000" w:themeColor="text1"/>
        </w:rPr>
      </w:pPr>
      <w:r>
        <w:rPr>
          <w:rFonts w:cs="Arial"/>
          <w:color w:val="000000" w:themeColor="text1"/>
        </w:rPr>
        <w:t>P</w:t>
      </w:r>
      <w:r w:rsidR="00C93209" w:rsidRPr="00C93209">
        <w:rPr>
          <w:rFonts w:cs="Arial"/>
          <w:color w:val="000000" w:themeColor="text1"/>
        </w:rPr>
        <w:t>ri prodaji i kupnji imovine procjembeni elaborati nisu dostavljeni nadležnom procjeniteljskom povjerenstvu na mišljenje o usklađenosti s odredbama Zakona o procjeni vri</w:t>
      </w:r>
      <w:r>
        <w:rPr>
          <w:rFonts w:cs="Arial"/>
          <w:color w:val="000000" w:themeColor="text1"/>
        </w:rPr>
        <w:t>jednosti nekretnina; podaci iz r</w:t>
      </w:r>
      <w:r w:rsidR="00C93209" w:rsidRPr="00C93209">
        <w:rPr>
          <w:rFonts w:cs="Arial"/>
          <w:color w:val="000000" w:themeColor="text1"/>
        </w:rPr>
        <w:t>egistra imovine nisu usklađeni s podacima iz glavne knjige i analitičkih knjigovodstvenih evidencija ili nisu ažurirani te ne sadrže točne i potpune podatke o imovini kojima lokalna jedinica raspolaže; podaci o imovini lokalnih jedinica nisu dostavljeni u Središnji registar državne imovine</w:t>
      </w:r>
      <w:r>
        <w:rPr>
          <w:rFonts w:cs="Arial"/>
          <w:color w:val="000000" w:themeColor="text1"/>
        </w:rPr>
        <w:t>.</w:t>
      </w:r>
    </w:p>
    <w:p w14:paraId="21B60CA5" w14:textId="1F53E80C" w:rsidR="00C93209" w:rsidRPr="00C93209" w:rsidRDefault="009F1386" w:rsidP="00E275AD">
      <w:pPr>
        <w:numPr>
          <w:ilvl w:val="0"/>
          <w:numId w:val="17"/>
        </w:numPr>
        <w:tabs>
          <w:tab w:val="left" w:pos="567"/>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ind w:left="567" w:right="-1" w:hanging="567"/>
        <w:contextualSpacing/>
        <w:textAlignment w:val="baseline"/>
        <w:rPr>
          <w:rFonts w:cs="Arial"/>
          <w:color w:val="000000" w:themeColor="text1"/>
        </w:rPr>
      </w:pPr>
      <w:r>
        <w:rPr>
          <w:rFonts w:cs="Arial"/>
          <w:color w:val="000000" w:themeColor="text1"/>
        </w:rPr>
        <w:t>V</w:t>
      </w:r>
      <w:r w:rsidR="00C93209" w:rsidRPr="00C93209">
        <w:rPr>
          <w:rFonts w:cs="Arial"/>
          <w:color w:val="000000" w:themeColor="text1"/>
        </w:rPr>
        <w:t xml:space="preserve">odne građevine nisu prenesene u vlasništvo pravnih osoba ovlaštenih za obavljanje javne službe vodoopskrbe i odvodnje (javni isporučitelji vodnih usluga) te su i nadalje evidentirane u poslovnim knjigama pojedinih lokalnih jedinica. </w:t>
      </w:r>
    </w:p>
    <w:p w14:paraId="600FDDDF" w14:textId="77777777" w:rsidR="00C93209" w:rsidRPr="00C93209" w:rsidRDefault="00C93209" w:rsidP="00E275AD">
      <w:pPr>
        <w:tabs>
          <w:tab w:val="left" w:pos="567"/>
          <w:tab w:val="left" w:pos="1701"/>
          <w:tab w:val="left" w:pos="5460"/>
        </w:tabs>
        <w:ind w:right="-1"/>
        <w:contextualSpacing/>
        <w:rPr>
          <w:rFonts w:cs="Arial"/>
          <w:color w:val="000000" w:themeColor="text1"/>
        </w:rPr>
      </w:pPr>
    </w:p>
    <w:p w14:paraId="5BBF9C3C" w14:textId="77777777" w:rsidR="00C93209" w:rsidRDefault="00C93209" w:rsidP="00E275AD">
      <w:pPr>
        <w:ind w:right="-2"/>
        <w:rPr>
          <w:rFonts w:eastAsia="Calibri" w:cs="Arial"/>
          <w:color w:val="000000" w:themeColor="text1"/>
        </w:rPr>
      </w:pPr>
      <w:r w:rsidRPr="00C93209">
        <w:rPr>
          <w:rFonts w:eastAsia="Calibri" w:cs="Arial"/>
          <w:color w:val="000000" w:themeColor="text1"/>
        </w:rPr>
        <w:t xml:space="preserve">Za sve utvrđene nepravilnosti i propuste, lokalnim jedinicama dan je </w:t>
      </w:r>
      <w:r w:rsidRPr="00CD632C">
        <w:rPr>
          <w:rFonts w:eastAsia="Calibri" w:cs="Arial"/>
          <w:b/>
          <w:color w:val="000000" w:themeColor="text1"/>
        </w:rPr>
        <w:t>791 nalog i preporuka,</w:t>
      </w:r>
      <w:r w:rsidRPr="00C93209">
        <w:rPr>
          <w:rFonts w:eastAsia="Calibri" w:cs="Arial"/>
          <w:color w:val="000000" w:themeColor="text1"/>
        </w:rPr>
        <w:t xml:space="preserve"> čija bi provedba pridonijela realnijem iskazivanju podataka u financijskim izvještajima i povećanju usklađenosti poslovanja sa zakonima, drugim propisima i unutarnjim aktima. Nalozi su dani kad lokalna jedinica nije postupila u skladu sa zakonima, drugim propisima i unutarnjim aktima, a preporuke kad je ocijenjeno da bi se njihovom provedbom pridonijelo većoj transparentnosti i odgovornosti u trošenju proračunskih sredstava. </w:t>
      </w:r>
    </w:p>
    <w:p w14:paraId="60D99D09" w14:textId="77777777" w:rsidR="00FD11C5" w:rsidRDefault="00FD11C5" w:rsidP="00E275AD">
      <w:pPr>
        <w:ind w:right="-2"/>
        <w:rPr>
          <w:rFonts w:eastAsia="Calibri" w:cs="Arial"/>
          <w:color w:val="000000" w:themeColor="text1"/>
        </w:rPr>
      </w:pPr>
    </w:p>
    <w:p w14:paraId="176A4A0C" w14:textId="26D04A65" w:rsidR="00FD11C5" w:rsidRPr="00FD11C5" w:rsidRDefault="00FD11C5" w:rsidP="00E275AD">
      <w:pPr>
        <w:rPr>
          <w:sz w:val="20"/>
          <w:szCs w:val="20"/>
        </w:rPr>
      </w:pPr>
      <w:r w:rsidRPr="00FD11C5">
        <w:rPr>
          <w:rFonts w:cs="Arial"/>
          <w:color w:val="000000" w:themeColor="text1"/>
        </w:rPr>
        <w:t>Utvrđeno je da je</w:t>
      </w:r>
      <w:r w:rsidR="0089132F">
        <w:rPr>
          <w:rFonts w:cs="Arial"/>
          <w:color w:val="000000" w:themeColor="text1"/>
        </w:rPr>
        <w:t>,</w:t>
      </w:r>
      <w:r w:rsidRPr="00FD11C5">
        <w:rPr>
          <w:rFonts w:cs="Arial"/>
          <w:color w:val="000000" w:themeColor="text1"/>
        </w:rPr>
        <w:t xml:space="preserve"> </w:t>
      </w:r>
      <w:r w:rsidR="009754E9">
        <w:rPr>
          <w:rFonts w:cs="Arial"/>
          <w:color w:val="000000" w:themeColor="text1"/>
        </w:rPr>
        <w:t>od 423 naloga i preporuke</w:t>
      </w:r>
      <w:r w:rsidR="0089132F">
        <w:rPr>
          <w:rFonts w:cs="Arial"/>
          <w:color w:val="000000" w:themeColor="text1"/>
        </w:rPr>
        <w:t xml:space="preserve"> danih</w:t>
      </w:r>
      <w:r w:rsidR="009754E9">
        <w:rPr>
          <w:rFonts w:cs="Arial"/>
          <w:color w:val="000000" w:themeColor="text1"/>
        </w:rPr>
        <w:t xml:space="preserve"> u prošlim revizijama</w:t>
      </w:r>
      <w:r w:rsidR="0089132F">
        <w:rPr>
          <w:rFonts w:cs="Arial"/>
          <w:color w:val="000000" w:themeColor="text1"/>
        </w:rPr>
        <w:t>,</w:t>
      </w:r>
      <w:r w:rsidR="009754E9">
        <w:rPr>
          <w:rFonts w:cs="Arial"/>
          <w:color w:val="000000" w:themeColor="text1"/>
        </w:rPr>
        <w:t xml:space="preserve"> </w:t>
      </w:r>
      <w:r w:rsidRPr="00FD11C5">
        <w:rPr>
          <w:rFonts w:cs="Arial"/>
          <w:color w:val="000000" w:themeColor="text1"/>
        </w:rPr>
        <w:t>provedeno 260 ili 61,5 %, nije proveden 101 ili 23,9 %, nije primjenjivo 36 ili 8,5 % (zbog izmjene propisa ili jer lokalne jedinice nisu imale aktivnosti za koje su dani nal</w:t>
      </w:r>
      <w:r w:rsidR="009754E9">
        <w:rPr>
          <w:rFonts w:cs="Arial"/>
          <w:color w:val="000000" w:themeColor="text1"/>
        </w:rPr>
        <w:t>ozi i preporuke), a djelomično je</w:t>
      </w:r>
      <w:r w:rsidRPr="00FD11C5">
        <w:rPr>
          <w:rFonts w:cs="Arial"/>
          <w:color w:val="000000" w:themeColor="text1"/>
        </w:rPr>
        <w:t xml:space="preserve"> provede</w:t>
      </w:r>
      <w:r w:rsidR="009754E9">
        <w:rPr>
          <w:rFonts w:cs="Arial"/>
          <w:color w:val="000000" w:themeColor="text1"/>
        </w:rPr>
        <w:t xml:space="preserve">no </w:t>
      </w:r>
      <w:r w:rsidRPr="00FD11C5">
        <w:rPr>
          <w:rFonts w:cs="Arial"/>
          <w:color w:val="000000" w:themeColor="text1"/>
        </w:rPr>
        <w:t>ili u postupku provedbe 26 ili 6,1 % naloga i preporuka.</w:t>
      </w:r>
    </w:p>
    <w:p w14:paraId="63A777CA" w14:textId="77777777" w:rsidR="00C93209" w:rsidRPr="00C93209" w:rsidRDefault="00C93209" w:rsidP="00E275AD">
      <w:pPr>
        <w:ind w:right="-2"/>
        <w:rPr>
          <w:rFonts w:eastAsia="Calibri" w:cs="Arial"/>
          <w:color w:val="000000" w:themeColor="text1"/>
        </w:rPr>
      </w:pPr>
    </w:p>
    <w:p w14:paraId="2AAB5A86" w14:textId="77777777" w:rsidR="00F02183" w:rsidRPr="00C93209" w:rsidRDefault="00C93209" w:rsidP="00E275AD">
      <w:pPr>
        <w:tabs>
          <w:tab w:val="left" w:pos="0"/>
          <w:tab w:val="left" w:pos="567"/>
        </w:tabs>
        <w:rPr>
          <w:rFonts w:eastAsia="Calibri" w:cs="Arial"/>
          <w:b/>
        </w:rPr>
      </w:pPr>
      <w:r w:rsidRPr="00C93209">
        <w:rPr>
          <w:rFonts w:cs="Arial"/>
          <w:b/>
        </w:rPr>
        <w:t>Gradu Sisku (za 2023.) i Općini Povljana (za 2024.) izražena su nepovoljna mišljenja o financijskim izvještajima zbog značajnih nepravilnosti utvrđenih u području r</w:t>
      </w:r>
      <w:r w:rsidRPr="00C93209">
        <w:rPr>
          <w:rFonts w:eastAsia="Calibri" w:cs="Arial"/>
          <w:b/>
        </w:rPr>
        <w:t>ačunovodstveno</w:t>
      </w:r>
      <w:r w:rsidR="009754E9">
        <w:rPr>
          <w:rFonts w:eastAsia="Calibri" w:cs="Arial"/>
          <w:b/>
        </w:rPr>
        <w:t>g</w:t>
      </w:r>
      <w:r w:rsidRPr="00C93209">
        <w:rPr>
          <w:rFonts w:eastAsia="Calibri" w:cs="Arial"/>
          <w:b/>
        </w:rPr>
        <w:t xml:space="preserve"> posl</w:t>
      </w:r>
      <w:r w:rsidR="009754E9">
        <w:rPr>
          <w:rFonts w:eastAsia="Calibri" w:cs="Arial"/>
          <w:b/>
        </w:rPr>
        <w:t>ovanja</w:t>
      </w:r>
      <w:r w:rsidR="00F02183">
        <w:rPr>
          <w:rFonts w:eastAsia="Calibri" w:cs="Arial"/>
          <w:b/>
        </w:rPr>
        <w:t xml:space="preserve"> i financijski</w:t>
      </w:r>
      <w:r w:rsidR="009754E9">
        <w:rPr>
          <w:rFonts w:eastAsia="Calibri" w:cs="Arial"/>
          <w:b/>
        </w:rPr>
        <w:t>h izvještaja</w:t>
      </w:r>
      <w:r w:rsidR="00F02183">
        <w:rPr>
          <w:rFonts w:eastAsia="Calibri" w:cs="Arial"/>
          <w:b/>
        </w:rPr>
        <w:t xml:space="preserve"> zbog čega većina podataka u financijskim izvještajima nije točna i pouzdana. </w:t>
      </w:r>
      <w:r w:rsidRPr="00C93209">
        <w:rPr>
          <w:rFonts w:eastAsia="Calibri" w:cs="Arial"/>
          <w:b/>
        </w:rPr>
        <w:t xml:space="preserve"> </w:t>
      </w:r>
    </w:p>
    <w:p w14:paraId="0ABC8DDD" w14:textId="77777777" w:rsidR="00C93209" w:rsidRDefault="00C93209" w:rsidP="00E275AD">
      <w:pPr>
        <w:tabs>
          <w:tab w:val="left" w:pos="0"/>
          <w:tab w:val="left" w:pos="567"/>
        </w:tabs>
        <w:rPr>
          <w:rFonts w:eastAsia="Calibri" w:cs="Arial"/>
          <w:b/>
        </w:rPr>
      </w:pPr>
    </w:p>
    <w:p w14:paraId="7E9B2030" w14:textId="77777777" w:rsidR="00D71DE9" w:rsidRDefault="00D71DE9" w:rsidP="00E275AD">
      <w:pPr>
        <w:tabs>
          <w:tab w:val="left" w:pos="0"/>
          <w:tab w:val="left" w:pos="567"/>
        </w:tabs>
        <w:rPr>
          <w:rFonts w:eastAsia="Calibri" w:cs="Arial"/>
          <w:b/>
        </w:rPr>
      </w:pPr>
    </w:p>
    <w:p w14:paraId="202EC787" w14:textId="77777777" w:rsidR="000C2CD7" w:rsidRDefault="00C93209" w:rsidP="00E275AD">
      <w:pPr>
        <w:shd w:val="clear" w:color="auto" w:fill="D9D9D9" w:themeFill="background1" w:themeFillShade="D9"/>
        <w:tabs>
          <w:tab w:val="left" w:pos="0"/>
          <w:tab w:val="left" w:pos="567"/>
        </w:tabs>
        <w:ind w:left="564" w:hanging="564"/>
        <w:rPr>
          <w:rFonts w:cs="Arial"/>
          <w:b/>
        </w:rPr>
      </w:pPr>
      <w:r w:rsidRPr="00C93209">
        <w:rPr>
          <w:rFonts w:cs="Arial"/>
          <w:b/>
        </w:rPr>
        <w:t xml:space="preserve">PRORAČUNSKI KORISNICI JEDINICA </w:t>
      </w:r>
      <w:r w:rsidR="000C2CD7">
        <w:rPr>
          <w:rFonts w:cs="Arial"/>
          <w:b/>
        </w:rPr>
        <w:t>LOKALNE I PODRUČNE (REGIONALNE)</w:t>
      </w:r>
    </w:p>
    <w:p w14:paraId="3DA943B6" w14:textId="77777777" w:rsidR="00C93209" w:rsidRPr="00C93209" w:rsidRDefault="00C93209" w:rsidP="00E275AD">
      <w:pPr>
        <w:shd w:val="clear" w:color="auto" w:fill="D9D9D9" w:themeFill="background1" w:themeFillShade="D9"/>
        <w:tabs>
          <w:tab w:val="left" w:pos="0"/>
          <w:tab w:val="left" w:pos="567"/>
        </w:tabs>
        <w:ind w:left="564" w:hanging="564"/>
        <w:rPr>
          <w:rFonts w:cs="Arial"/>
          <w:b/>
        </w:rPr>
      </w:pPr>
      <w:r w:rsidRPr="00C93209">
        <w:rPr>
          <w:rFonts w:cs="Arial"/>
          <w:b/>
        </w:rPr>
        <w:t xml:space="preserve">SAMOUPRAVE </w:t>
      </w:r>
    </w:p>
    <w:p w14:paraId="21976367" w14:textId="77777777" w:rsidR="00C93209" w:rsidRPr="00C93209" w:rsidRDefault="00C93209" w:rsidP="00E275AD">
      <w:pPr>
        <w:widowControl/>
        <w:autoSpaceDE/>
        <w:autoSpaceDN/>
        <w:adjustRightInd/>
        <w:rPr>
          <w:rFonts w:eastAsia="Calibri" w:cs="Arial"/>
          <w:b/>
          <w:szCs w:val="22"/>
          <w:lang w:eastAsia="en-US"/>
        </w:rPr>
      </w:pPr>
    </w:p>
    <w:p w14:paraId="47CD286E" w14:textId="319EE350" w:rsidR="00C93209" w:rsidRPr="00C93209" w:rsidRDefault="00C93209" w:rsidP="00E275AD">
      <w:pPr>
        <w:rPr>
          <w:rFonts w:eastAsiaTheme="minorHAnsi" w:cs="Arial"/>
        </w:rPr>
      </w:pPr>
      <w:r w:rsidRPr="00C93209">
        <w:rPr>
          <w:rFonts w:eastAsia="Calibri" w:cs="Arial"/>
        </w:rPr>
        <w:t xml:space="preserve">Ured je obavio financijsku reviziju </w:t>
      </w:r>
      <w:r w:rsidRPr="00C93209">
        <w:rPr>
          <w:rFonts w:eastAsia="Calibri" w:cs="Arial"/>
          <w:b/>
        </w:rPr>
        <w:t>12 proračunskih korisnika jedinica lokalne i područne (regionalne) samouprave (dalje u tekstu: proračunski korisnici lokalnih jedinica)</w:t>
      </w:r>
      <w:r w:rsidR="0071367D">
        <w:rPr>
          <w:rFonts w:eastAsia="Calibri" w:cs="Arial"/>
        </w:rPr>
        <w:t>,</w:t>
      </w:r>
      <w:r w:rsidRPr="00C93209">
        <w:rPr>
          <w:rFonts w:eastAsia="Calibri" w:cs="Arial"/>
          <w:b/>
        </w:rPr>
        <w:t xml:space="preserve"> </w:t>
      </w:r>
      <w:r w:rsidRPr="00C93209">
        <w:rPr>
          <w:rFonts w:eastAsia="Calibri" w:cs="Arial"/>
        </w:rPr>
        <w:t>i</w:t>
      </w:r>
      <w:r w:rsidRPr="00C93209">
        <w:rPr>
          <w:rFonts w:cs="Arial"/>
        </w:rPr>
        <w:t xml:space="preserve"> to jedanaest ustanova koje obavljaju djelatnost predškolskog, osnovnog ili srednjeg obrazovanja i ustanove koja upravlja zaštićenim područjem, a korisnici su proračuna županija, gradova te </w:t>
      </w:r>
      <w:r w:rsidRPr="00C93209">
        <w:rPr>
          <w:rFonts w:cs="Arial"/>
          <w:color w:val="000000" w:themeColor="text1"/>
        </w:rPr>
        <w:t xml:space="preserve">općine (osnivači proračunskih korisnika). </w:t>
      </w:r>
      <w:r w:rsidR="00602D53">
        <w:rPr>
          <w:rFonts w:cs="Arial"/>
          <w:color w:val="000000" w:themeColor="text1"/>
        </w:rPr>
        <w:t xml:space="preserve">Revizijom su obuhvaćeni financijski izvještaji i poslovanje za 2023. (tri </w:t>
      </w:r>
      <w:r w:rsidR="00602D53" w:rsidRPr="00C93209">
        <w:rPr>
          <w:rFonts w:eastAsia="Calibri" w:cs="Arial"/>
          <w:lang w:eastAsia="en-US"/>
        </w:rPr>
        <w:t>proračunska korisnika</w:t>
      </w:r>
      <w:r w:rsidR="00602D53">
        <w:rPr>
          <w:rFonts w:eastAsia="Calibri" w:cs="Arial"/>
          <w:lang w:eastAsia="en-US"/>
        </w:rPr>
        <w:t>), odnosno za 2024. (devet proračunskih korisnika).</w:t>
      </w:r>
    </w:p>
    <w:p w14:paraId="2494DEC7" w14:textId="77777777" w:rsidR="00C93209" w:rsidRPr="00C93209" w:rsidRDefault="00C93209" w:rsidP="00E275AD">
      <w:pPr>
        <w:widowControl/>
        <w:autoSpaceDE/>
        <w:autoSpaceDN/>
        <w:adjustRightInd/>
        <w:ind w:firstLine="567"/>
        <w:rPr>
          <w:rFonts w:eastAsia="Calibri" w:cs="Arial"/>
          <w:lang w:eastAsia="en-US"/>
        </w:rPr>
      </w:pPr>
    </w:p>
    <w:p w14:paraId="7134CB63" w14:textId="26C8645F" w:rsidR="00C93209" w:rsidRDefault="00C93209" w:rsidP="00E275AD">
      <w:pPr>
        <w:widowControl/>
        <w:autoSpaceDE/>
        <w:autoSpaceDN/>
        <w:adjustRightInd/>
        <w:rPr>
          <w:rFonts w:eastAsia="Calibri" w:cs="Arial"/>
          <w:b/>
          <w:lang w:eastAsia="en-US"/>
        </w:rPr>
      </w:pPr>
      <w:r w:rsidRPr="00C93209">
        <w:rPr>
          <w:rFonts w:eastAsia="Calibri" w:cs="Arial"/>
          <w:b/>
          <w:lang w:eastAsia="en-US"/>
        </w:rPr>
        <w:t xml:space="preserve">O financijskim izvještajima proračunskih korisnika lokalnih jedinica izražena su četiri bezuvjetna, sedam uvjetnih i jedno nepovoljno mišljenje. O usklađenosti poslovanja izražena su tri bezuvjetna i devet uvjetnih mišljenja. </w:t>
      </w:r>
    </w:p>
    <w:p w14:paraId="70BF5B36" w14:textId="781B2A7D" w:rsidR="00C11D1D" w:rsidRDefault="00C11D1D" w:rsidP="00E275AD">
      <w:pPr>
        <w:widowControl/>
        <w:autoSpaceDE/>
        <w:autoSpaceDN/>
        <w:adjustRightInd/>
        <w:rPr>
          <w:rFonts w:eastAsia="Calibri" w:cs="Arial"/>
          <w:b/>
          <w:lang w:eastAsia="en-US"/>
        </w:rPr>
      </w:pPr>
    </w:p>
    <w:p w14:paraId="4539F1A0" w14:textId="77777777" w:rsidR="00C11D1D" w:rsidRPr="00C93209" w:rsidRDefault="00C11D1D" w:rsidP="00E275AD">
      <w:pPr>
        <w:widowControl/>
        <w:autoSpaceDE/>
        <w:autoSpaceDN/>
        <w:adjustRightInd/>
        <w:rPr>
          <w:rFonts w:eastAsia="Calibri" w:cs="Arial"/>
          <w:b/>
          <w:lang w:eastAsia="en-US"/>
        </w:rPr>
      </w:pPr>
    </w:p>
    <w:p w14:paraId="116B8D9A" w14:textId="77777777" w:rsidR="00C93209" w:rsidRPr="00C93209" w:rsidRDefault="00C93209" w:rsidP="00E275AD">
      <w:pPr>
        <w:rPr>
          <w:rFonts w:cs="Arial"/>
        </w:rPr>
      </w:pPr>
    </w:p>
    <w:p w14:paraId="66241181" w14:textId="3FA19302" w:rsidR="00C93209" w:rsidRPr="00C93209" w:rsidRDefault="00076E73" w:rsidP="00E275AD">
      <w:pPr>
        <w:rPr>
          <w:rFonts w:cs="Arial"/>
        </w:rPr>
      </w:pPr>
      <w:r>
        <w:rPr>
          <w:rFonts w:cs="Arial"/>
        </w:rPr>
        <w:lastRenderedPageBreak/>
        <w:t>Utvrđene su nepravilnosti</w:t>
      </w:r>
      <w:r w:rsidR="00C93209" w:rsidRPr="00C93209">
        <w:rPr>
          <w:rFonts w:cs="Arial"/>
        </w:rPr>
        <w:t xml:space="preserve"> i propusti u području djelokruga i unutarnjeg ustrojstva, sustava unutarnjih kontrola, planiranja i izvršenja plana, računovodstvenog poslovanja i financijskog izvještavanja, prihoda i potraživanja, rashoda te javne nabave.</w:t>
      </w:r>
    </w:p>
    <w:p w14:paraId="3FB2ECBE" w14:textId="77777777" w:rsidR="00C93209" w:rsidRPr="00C93209" w:rsidRDefault="00C93209" w:rsidP="00E275AD">
      <w:pPr>
        <w:rPr>
          <w:rFonts w:cs="Arial"/>
          <w:color w:val="000000" w:themeColor="text1"/>
        </w:rPr>
      </w:pPr>
      <w:r w:rsidRPr="00C93209">
        <w:rPr>
          <w:rFonts w:cs="Arial"/>
          <w:color w:val="000000" w:themeColor="text1"/>
        </w:rPr>
        <w:t>U nastavku se navode značajnije nepravilnosti utvrđene revizijom:</w:t>
      </w:r>
    </w:p>
    <w:p w14:paraId="4E310BF1" w14:textId="77777777" w:rsidR="00C93209" w:rsidRPr="00C93209" w:rsidRDefault="00C93209" w:rsidP="00E275AD">
      <w:pPr>
        <w:widowControl/>
        <w:autoSpaceDE/>
        <w:autoSpaceDN/>
        <w:adjustRightInd/>
        <w:ind w:firstLine="708"/>
        <w:rPr>
          <w:rFonts w:eastAsia="Calibri" w:cs="Arial"/>
          <w:lang w:eastAsia="en-US"/>
        </w:rPr>
      </w:pPr>
    </w:p>
    <w:p w14:paraId="4AA3EB00" w14:textId="34F363C1" w:rsidR="00C93209" w:rsidRPr="00C93209" w:rsidRDefault="0071367D" w:rsidP="00E275AD">
      <w:pPr>
        <w:widowControl/>
        <w:numPr>
          <w:ilvl w:val="0"/>
          <w:numId w:val="15"/>
        </w:numPr>
        <w:autoSpaceDE/>
        <w:autoSpaceDN/>
        <w:adjustRightInd/>
        <w:ind w:left="567" w:hanging="567"/>
        <w:contextualSpacing/>
        <w:rPr>
          <w:rFonts w:eastAsia="Calibri" w:cs="Arial"/>
        </w:rPr>
      </w:pPr>
      <w:r>
        <w:rPr>
          <w:rFonts w:eastAsia="Calibri" w:cs="Arial"/>
          <w:lang w:eastAsia="en-US"/>
        </w:rPr>
        <w:t>P</w:t>
      </w:r>
      <w:r w:rsidR="00C93209" w:rsidRPr="00C93209">
        <w:rPr>
          <w:rFonts w:eastAsia="Calibri" w:cs="Arial"/>
          <w:lang w:eastAsia="en-US"/>
        </w:rPr>
        <w:t>ojedini ostvareni prihodi i/ili rashodi znatno odstupaju od planiranih; financijski planovi te polugodišnji i godišnji izvještaji o izvršenju financijskih planova ne sadrže neke obvezne elemente (opći i posebni dio, obrazloženje općeg i posebnog dijela ili preneseni višak ili manjak prihoda nad rashodima)</w:t>
      </w:r>
      <w:r>
        <w:rPr>
          <w:rFonts w:eastAsia="Calibri" w:cs="Arial"/>
          <w:lang w:eastAsia="en-US"/>
        </w:rPr>
        <w:t>.</w:t>
      </w:r>
    </w:p>
    <w:p w14:paraId="0D7B3FA9" w14:textId="4CC36004" w:rsidR="00C93209" w:rsidRPr="00C93209" w:rsidRDefault="0071367D" w:rsidP="00E275AD">
      <w:pPr>
        <w:widowControl/>
        <w:numPr>
          <w:ilvl w:val="0"/>
          <w:numId w:val="15"/>
        </w:numPr>
        <w:autoSpaceDE/>
        <w:autoSpaceDN/>
        <w:adjustRightInd/>
        <w:ind w:left="567" w:hanging="567"/>
        <w:contextualSpacing/>
        <w:rPr>
          <w:rFonts w:eastAsia="Calibri" w:cs="Arial"/>
        </w:rPr>
      </w:pPr>
      <w:r>
        <w:rPr>
          <w:rFonts w:eastAsia="Calibri" w:cs="Arial"/>
          <w:lang w:eastAsia="en-US"/>
        </w:rPr>
        <w:t>P</w:t>
      </w:r>
      <w:r w:rsidR="00C93209" w:rsidRPr="00C93209">
        <w:rPr>
          <w:rFonts w:eastAsia="Calibri" w:cs="Arial"/>
          <w:lang w:eastAsia="en-US"/>
        </w:rPr>
        <w:t>ojedini prihodi i rashodi nisu evidentirani na propisanim računima Računskog plana;</w:t>
      </w:r>
      <w:r w:rsidR="00C93209" w:rsidRPr="00C93209">
        <w:rPr>
          <w:rFonts w:eastAsia="Calibri" w:cs="Arial"/>
          <w:color w:val="000000" w:themeColor="text1"/>
          <w:lang w:eastAsia="en-US"/>
        </w:rPr>
        <w:t xml:space="preserve"> veći broj proračunskih korisnika nije ustrojio pojedine propisane analitičke knjigovodstvene evidencije </w:t>
      </w:r>
      <w:r w:rsidR="00C93209" w:rsidRPr="00C93209">
        <w:rPr>
          <w:rFonts w:cs="Arial"/>
          <w:color w:val="000000" w:themeColor="text1"/>
        </w:rPr>
        <w:t>odnosno pojedine propisane pomoćne evidencije</w:t>
      </w:r>
      <w:r w:rsidR="00C93209" w:rsidRPr="00C93209">
        <w:rPr>
          <w:rFonts w:eastAsia="Calibri" w:cs="Arial"/>
          <w:color w:val="000000" w:themeColor="text1"/>
          <w:lang w:eastAsia="en-US"/>
        </w:rPr>
        <w:t xml:space="preserve"> ili ustrojene evidencije ne sadrže sve propisane podatke (u pravilu se to odnosi na evidencije dugotrajne nefinancijske imovine,</w:t>
      </w:r>
      <w:r w:rsidR="00C93209" w:rsidRPr="00C93209">
        <w:rPr>
          <w:rFonts w:cs="Arial"/>
          <w:color w:val="000000" w:themeColor="text1"/>
        </w:rPr>
        <w:t xml:space="preserve"> </w:t>
      </w:r>
      <w:r w:rsidR="00C93209" w:rsidRPr="00C93209">
        <w:rPr>
          <w:rFonts w:eastAsia="Calibri" w:cs="Arial"/>
          <w:color w:val="000000" w:themeColor="text1"/>
          <w:lang w:eastAsia="en-US"/>
        </w:rPr>
        <w:t xml:space="preserve">analitičke knjigovodstvene </w:t>
      </w:r>
      <w:r w:rsidR="00C93209" w:rsidRPr="00C93209">
        <w:rPr>
          <w:rFonts w:eastAsia="Calibri" w:cs="Arial"/>
          <w:lang w:eastAsia="en-US"/>
        </w:rPr>
        <w:t xml:space="preserve">evidencije potraživanja i obveza te evidenciju danih i primljenih jamstava); u glavnoj knjizi jednog proračunskog korisnika na računima nefinancijske imovine, potraživanja i obveza evidentirani su samo poslovni događaji tekuće godine, a nisu evidentirana početna stanja niti provedena zaključna knjiženja te se ne može potvrditi točnost i pouzdanost iskazane imovine, obveza i vlastitih izvora u financijskim izvještajima; na računima izvanbilančnih zapisa nisu evidentirane potencijalne obveze po osnovi sudskih sporova u tijeku, primljeni instrumenti osiguranja plaćanja, kao ni tuđa imovina dobivena na korištenje; </w:t>
      </w:r>
      <w:r w:rsidR="00C93209" w:rsidRPr="00C93209">
        <w:rPr>
          <w:rFonts w:eastAsia="Calibri" w:cs="Arial"/>
        </w:rPr>
        <w:t xml:space="preserve">većina proračunskih korisnika nije obavila popis imovine i obveza ili popis nije cjelovit jer nije obuhvaćen dio imovine i izvanbilančni zapisi te </w:t>
      </w:r>
      <w:r w:rsidR="00C93209" w:rsidRPr="00C93209">
        <w:rPr>
          <w:rFonts w:cs="Arial"/>
          <w:color w:val="000000" w:themeColor="text1"/>
        </w:rPr>
        <w:t>nije postignuta osnovna svrha popisa (utvrđivanje stvarnog stanja te usklađenje knjigovodstvenog sa stvarnim stanjem)</w:t>
      </w:r>
      <w:r>
        <w:rPr>
          <w:rFonts w:cs="Arial"/>
          <w:color w:val="000000" w:themeColor="text1"/>
        </w:rPr>
        <w:t>.</w:t>
      </w:r>
    </w:p>
    <w:p w14:paraId="4C45F602" w14:textId="4D495DE8" w:rsidR="00C93209" w:rsidRPr="00C93209" w:rsidRDefault="0071367D" w:rsidP="00E275AD">
      <w:pPr>
        <w:widowControl/>
        <w:numPr>
          <w:ilvl w:val="0"/>
          <w:numId w:val="15"/>
        </w:numPr>
        <w:autoSpaceDE/>
        <w:autoSpaceDN/>
        <w:adjustRightInd/>
        <w:ind w:left="567" w:right="-1" w:hanging="567"/>
        <w:contextualSpacing/>
        <w:rPr>
          <w:rFonts w:eastAsia="Calibri" w:cs="Arial"/>
          <w:lang w:eastAsia="en-US"/>
        </w:rPr>
      </w:pPr>
      <w:r>
        <w:rPr>
          <w:rFonts w:eastAsia="Calibri" w:cs="Arial"/>
          <w:lang w:eastAsia="en-US"/>
        </w:rPr>
        <w:t>U</w:t>
      </w:r>
      <w:r w:rsidR="00C93209" w:rsidRPr="00C93209">
        <w:rPr>
          <w:rFonts w:eastAsia="Calibri" w:cs="Arial"/>
          <w:lang w:eastAsia="en-US"/>
        </w:rPr>
        <w:t>nutarnji akt kojim se treba urediti ostvarenje i korištenje vlastitih prihoda nije donesen ili aktom nisu utvrđene vrste vlastitih prihoda koje proračunski korisnik ostvaruje ni propisane namjene za koje se pojedina vrsta vlastitih prihoda može koristiti; za dospjela potraživanja nisu poduzimane raspoložive mjere za potpunu i pravodobnu naplatu potraživanja</w:t>
      </w:r>
      <w:r>
        <w:rPr>
          <w:rFonts w:eastAsia="Calibri" w:cs="Arial"/>
          <w:lang w:eastAsia="en-US"/>
        </w:rPr>
        <w:t>.</w:t>
      </w:r>
      <w:r w:rsidR="00C93209" w:rsidRPr="00C93209">
        <w:rPr>
          <w:rFonts w:eastAsia="Calibri" w:cs="Arial"/>
          <w:lang w:eastAsia="en-US"/>
        </w:rPr>
        <w:t xml:space="preserve"> </w:t>
      </w:r>
    </w:p>
    <w:p w14:paraId="32FB8CBC" w14:textId="25BD8FB4" w:rsidR="00C93209" w:rsidRPr="00C93209" w:rsidRDefault="0071367D" w:rsidP="00E275AD">
      <w:pPr>
        <w:widowControl/>
        <w:numPr>
          <w:ilvl w:val="0"/>
          <w:numId w:val="15"/>
        </w:numPr>
        <w:autoSpaceDE/>
        <w:autoSpaceDN/>
        <w:adjustRightInd/>
        <w:ind w:left="567" w:hanging="567"/>
        <w:contextualSpacing/>
        <w:rPr>
          <w:rFonts w:eastAsia="Calibri" w:cs="Arial"/>
          <w:color w:val="000000" w:themeColor="text1"/>
          <w:lang w:eastAsia="en-US"/>
        </w:rPr>
      </w:pPr>
      <w:r>
        <w:rPr>
          <w:rFonts w:eastAsia="Calibri" w:cs="Arial"/>
          <w:color w:val="000000" w:themeColor="text1"/>
          <w:lang w:eastAsia="en-US"/>
        </w:rPr>
        <w:t>U</w:t>
      </w:r>
      <w:r w:rsidR="00C93209" w:rsidRPr="00C93209">
        <w:rPr>
          <w:rFonts w:eastAsia="Calibri" w:cs="Arial"/>
          <w:color w:val="000000" w:themeColor="text1"/>
          <w:lang w:eastAsia="en-US"/>
        </w:rPr>
        <w:t>tvrđivanje natprosječnih rezultata rada (novčane nagrade) te isplata dodatka za uspješnost na radu kod pojedinih proračunskih korisnika obavljena je bez utvrđenih mjerljivih kriterija</w:t>
      </w:r>
      <w:r w:rsidR="00A8669F">
        <w:rPr>
          <w:rFonts w:eastAsia="Calibri" w:cs="Arial"/>
          <w:color w:val="000000" w:themeColor="text1"/>
          <w:lang w:eastAsia="en-US"/>
        </w:rPr>
        <w:t>.</w:t>
      </w:r>
      <w:r w:rsidR="00C93209" w:rsidRPr="00C93209">
        <w:rPr>
          <w:rFonts w:eastAsia="Calibri" w:cs="Arial"/>
          <w:color w:val="000000" w:themeColor="text1"/>
          <w:lang w:eastAsia="en-US"/>
        </w:rPr>
        <w:t xml:space="preserve"> </w:t>
      </w:r>
    </w:p>
    <w:p w14:paraId="7752D240" w14:textId="70C92B68" w:rsidR="00C93209" w:rsidRPr="00C93209" w:rsidRDefault="00A8669F" w:rsidP="00E275AD">
      <w:pPr>
        <w:widowControl/>
        <w:numPr>
          <w:ilvl w:val="0"/>
          <w:numId w:val="15"/>
        </w:numPr>
        <w:autoSpaceDE/>
        <w:autoSpaceDN/>
        <w:adjustRightInd/>
        <w:ind w:left="567" w:hanging="567"/>
        <w:contextualSpacing/>
        <w:rPr>
          <w:rFonts w:eastAsia="Calibri" w:cs="Arial"/>
          <w:lang w:eastAsia="en-US"/>
        </w:rPr>
      </w:pPr>
      <w:r>
        <w:rPr>
          <w:rFonts w:eastAsia="Calibri" w:cs="Arial"/>
          <w:lang w:eastAsia="en-US"/>
        </w:rPr>
        <w:t>N</w:t>
      </w:r>
      <w:r w:rsidR="00C93209" w:rsidRPr="00C93209">
        <w:rPr>
          <w:rFonts w:eastAsia="Calibri" w:cs="Arial"/>
          <w:lang w:eastAsia="en-US"/>
        </w:rPr>
        <w:t xml:space="preserve">a mrežnim stranicama nisu objavljene izjave članova Školskog odbora o postojanju ili nepostojanju sukoba interesa; pojedini proračunski korisnici za nabave roba i usluga nisu proveli postupke jednostavne nabave propisane unutarnjim aktima, već su robe i usluge nabavljene izravnim ugovaranjem; za nabavu pojedinih roba zaključeni su s gospodarskim subjektima ugovori koji ne sadrže rok na koji su zaključeni, količine, jedinične cijene ni ukupnu vrijednost roba niti su uz ugovor priloženi troškovnici; pojedini proračunski korisnici ne vode evidenciju postupaka jednostavne nabave, čime je otežano praćenje izvršenja ugovora o nabavi; registri ugovora o javnoj nabavi i okvirnih sporazuma te statistička izvješća o javnoj nabavi ne sadrže podatke o pojedinim predmetima nabave, kao ni neke obvezne elemente odnosno ne ažuriraju se redovito. </w:t>
      </w:r>
    </w:p>
    <w:p w14:paraId="3F58C5CE" w14:textId="77777777" w:rsidR="00C93209" w:rsidRPr="00C93209" w:rsidRDefault="00C93209" w:rsidP="00E275AD">
      <w:pPr>
        <w:widowControl/>
        <w:autoSpaceDE/>
        <w:autoSpaceDN/>
        <w:adjustRightInd/>
        <w:ind w:left="567"/>
        <w:contextualSpacing/>
        <w:rPr>
          <w:rFonts w:eastAsia="Calibri" w:cs="Arial"/>
          <w:lang w:eastAsia="en-US"/>
        </w:rPr>
      </w:pPr>
    </w:p>
    <w:p w14:paraId="4BA940AF" w14:textId="77777777" w:rsidR="00C93209" w:rsidRDefault="00C93209" w:rsidP="00E275AD">
      <w:pPr>
        <w:widowControl/>
        <w:autoSpaceDE/>
        <w:autoSpaceDN/>
        <w:adjustRightInd/>
        <w:rPr>
          <w:rFonts w:eastAsia="Calibri" w:cs="Arial"/>
          <w:lang w:eastAsia="en-US"/>
        </w:rPr>
      </w:pPr>
      <w:r w:rsidRPr="00C93209">
        <w:rPr>
          <w:rFonts w:eastAsia="Calibri" w:cs="Arial"/>
          <w:lang w:eastAsia="en-US"/>
        </w:rPr>
        <w:t xml:space="preserve">Za sve utvrđene nepravilnosti i propuste Ured je proračunskim korisnicima lokalnih jedinica dao </w:t>
      </w:r>
      <w:r w:rsidRPr="00CD632C">
        <w:rPr>
          <w:rFonts w:eastAsia="Calibri" w:cs="Arial"/>
          <w:b/>
          <w:lang w:eastAsia="en-US"/>
        </w:rPr>
        <w:t>179 naloga i preporuka</w:t>
      </w:r>
      <w:r w:rsidRPr="00C93209">
        <w:rPr>
          <w:rFonts w:eastAsia="Calibri" w:cs="Arial"/>
          <w:lang w:eastAsia="en-US"/>
        </w:rPr>
        <w:t>, čija bi provedba pridonijela točnijem i realnijem iskazivanju podataka u financijskim izvještajima te povećanju usklađenosti poslovanja sa zakonima, drugim propisima i unutarnjim aktima.</w:t>
      </w:r>
    </w:p>
    <w:p w14:paraId="3723530A" w14:textId="5AF75679" w:rsidR="00C9664C" w:rsidRDefault="00C9664C" w:rsidP="00E275AD">
      <w:pPr>
        <w:widowControl/>
        <w:autoSpaceDE/>
        <w:autoSpaceDN/>
        <w:adjustRightInd/>
        <w:rPr>
          <w:rFonts w:eastAsia="Calibri" w:cs="Arial"/>
          <w:lang w:eastAsia="en-US"/>
        </w:rPr>
      </w:pPr>
    </w:p>
    <w:p w14:paraId="5DBD4782" w14:textId="77777777" w:rsidR="00C11D1D" w:rsidRDefault="00C11D1D" w:rsidP="00E275AD">
      <w:pPr>
        <w:widowControl/>
        <w:autoSpaceDE/>
        <w:autoSpaceDN/>
        <w:adjustRightInd/>
        <w:rPr>
          <w:rFonts w:eastAsia="Calibri" w:cs="Arial"/>
          <w:lang w:eastAsia="en-US"/>
        </w:rPr>
      </w:pPr>
    </w:p>
    <w:p w14:paraId="61357BD3" w14:textId="592B2777" w:rsidR="00C9664C" w:rsidRPr="00C93209" w:rsidRDefault="00C9664C" w:rsidP="00E275AD">
      <w:pPr>
        <w:widowControl/>
        <w:autoSpaceDE/>
        <w:autoSpaceDN/>
        <w:adjustRightInd/>
        <w:rPr>
          <w:rFonts w:eastAsia="Calibri" w:cs="Arial"/>
          <w:lang w:eastAsia="en-US"/>
        </w:rPr>
      </w:pPr>
      <w:r w:rsidRPr="007D3554">
        <w:rPr>
          <w:rFonts w:eastAsia="Calibri" w:cs="Arial"/>
          <w:lang w:eastAsia="en-US"/>
        </w:rPr>
        <w:lastRenderedPageBreak/>
        <w:t>Osim toga, utvrđeno je da je, od ukupno 20 naloga i preporuke danih u prošlim revizijama (kod šest proračunskih korisnika,</w:t>
      </w:r>
      <w:r w:rsidRPr="007D3554">
        <w:rPr>
          <w:rFonts w:cs="Arial"/>
        </w:rPr>
        <w:t xml:space="preserve"> jer je za šest korisn</w:t>
      </w:r>
      <w:r w:rsidR="00A8669F">
        <w:rPr>
          <w:rFonts w:cs="Arial"/>
        </w:rPr>
        <w:t>ika revizija obavljena prvi put</w:t>
      </w:r>
      <w:r w:rsidRPr="007D3554">
        <w:rPr>
          <w:rFonts w:eastAsia="Calibri" w:cs="Arial"/>
          <w:lang w:eastAsia="en-US"/>
        </w:rPr>
        <w:t>), provedeno 14 ili 70,0 %, nije provedeno pet naloga ili 25,0 %, a djelomično je proveden jedan nalog ili 5,0 % % ukupno danih naloga i preporuka.</w:t>
      </w:r>
    </w:p>
    <w:p w14:paraId="5BDC3BA5" w14:textId="77777777" w:rsidR="00C93209" w:rsidRPr="00C93209" w:rsidRDefault="00C93209" w:rsidP="00E275AD">
      <w:pPr>
        <w:tabs>
          <w:tab w:val="left" w:pos="567"/>
        </w:tabs>
        <w:ind w:left="567" w:hanging="567"/>
        <w:rPr>
          <w:rFonts w:eastAsia="Calibri" w:cs="Arial"/>
          <w:lang w:eastAsia="en-US"/>
        </w:rPr>
      </w:pPr>
    </w:p>
    <w:p w14:paraId="2AE91BA9" w14:textId="77777777" w:rsidR="00C93209" w:rsidRPr="00C93209" w:rsidRDefault="00C93209" w:rsidP="00E275AD">
      <w:pPr>
        <w:tabs>
          <w:tab w:val="left" w:pos="0"/>
          <w:tab w:val="left" w:pos="567"/>
        </w:tabs>
        <w:rPr>
          <w:rFonts w:eastAsia="Calibri" w:cs="Arial"/>
          <w:b/>
        </w:rPr>
      </w:pPr>
      <w:r w:rsidRPr="00C93209">
        <w:rPr>
          <w:rFonts w:cs="Arial"/>
          <w:b/>
        </w:rPr>
        <w:t>Osnovnoj školi Matije Gupca, Zagreb izraženo je nepovoljno mišljenje o financijskim izvještajima zbog značajnih nepravilnosti utvrđenih u području r</w:t>
      </w:r>
      <w:r w:rsidRPr="00C93209">
        <w:rPr>
          <w:rFonts w:eastAsia="Calibri" w:cs="Arial"/>
          <w:b/>
        </w:rPr>
        <w:t>ačunovodstveno</w:t>
      </w:r>
      <w:r w:rsidR="009754E9">
        <w:rPr>
          <w:rFonts w:eastAsia="Calibri" w:cs="Arial"/>
          <w:b/>
        </w:rPr>
        <w:t>g poslovanja</w:t>
      </w:r>
      <w:r w:rsidRPr="00C93209">
        <w:rPr>
          <w:rFonts w:eastAsia="Calibri" w:cs="Arial"/>
          <w:b/>
        </w:rPr>
        <w:t xml:space="preserve"> i financijski</w:t>
      </w:r>
      <w:r w:rsidR="009754E9">
        <w:rPr>
          <w:rFonts w:eastAsia="Calibri" w:cs="Arial"/>
          <w:b/>
        </w:rPr>
        <w:t>h izvještaja</w:t>
      </w:r>
      <w:r w:rsidR="00F02183" w:rsidRPr="00F02183">
        <w:t xml:space="preserve"> </w:t>
      </w:r>
      <w:r w:rsidR="00F02183" w:rsidRPr="00F02183">
        <w:rPr>
          <w:rFonts w:eastAsia="Calibri" w:cs="Arial"/>
          <w:b/>
        </w:rPr>
        <w:t>zbog čega većina podataka u financijskim izvje</w:t>
      </w:r>
      <w:r w:rsidR="00F02183">
        <w:rPr>
          <w:rFonts w:eastAsia="Calibri" w:cs="Arial"/>
          <w:b/>
        </w:rPr>
        <w:t>štajima nije točna i pouzdana</w:t>
      </w:r>
      <w:r w:rsidRPr="00C93209">
        <w:rPr>
          <w:rFonts w:eastAsia="Calibri" w:cs="Arial"/>
          <w:b/>
        </w:rPr>
        <w:t xml:space="preserve">. </w:t>
      </w:r>
    </w:p>
    <w:p w14:paraId="4BD6D964" w14:textId="77777777" w:rsidR="00C93209" w:rsidRDefault="00C93209" w:rsidP="00E275AD">
      <w:pPr>
        <w:tabs>
          <w:tab w:val="left" w:pos="284"/>
          <w:tab w:val="left" w:pos="567"/>
          <w:tab w:val="left" w:pos="851"/>
        </w:tabs>
      </w:pPr>
    </w:p>
    <w:p w14:paraId="0C5EB79C" w14:textId="77777777" w:rsidR="00C93209" w:rsidRDefault="00C93209" w:rsidP="00E275AD">
      <w:pPr>
        <w:tabs>
          <w:tab w:val="left" w:pos="284"/>
          <w:tab w:val="left" w:pos="567"/>
          <w:tab w:val="left" w:pos="851"/>
        </w:tabs>
      </w:pPr>
    </w:p>
    <w:p w14:paraId="28B68CD4" w14:textId="77777777" w:rsidR="00C93209" w:rsidRPr="00C93209" w:rsidRDefault="00C93209" w:rsidP="00DC5298">
      <w:pPr>
        <w:shd w:val="clear" w:color="auto" w:fill="D9D9D9" w:themeFill="background1" w:themeFillShade="D9"/>
        <w:tabs>
          <w:tab w:val="left" w:pos="284"/>
          <w:tab w:val="left" w:pos="567"/>
          <w:tab w:val="left" w:pos="851"/>
        </w:tabs>
        <w:rPr>
          <w:b/>
        </w:rPr>
      </w:pPr>
      <w:r w:rsidRPr="00C93209">
        <w:rPr>
          <w:b/>
        </w:rPr>
        <w:t xml:space="preserve">TRGOVAČKA DRUŠTVA U VLASNIŠTVU </w:t>
      </w:r>
      <w:r w:rsidR="000C2CD7">
        <w:rPr>
          <w:b/>
        </w:rPr>
        <w:t>LOKALNIH JEDINICA</w:t>
      </w:r>
    </w:p>
    <w:p w14:paraId="7E455A7B" w14:textId="77777777" w:rsidR="00C93209" w:rsidRDefault="00C93209" w:rsidP="00E275AD">
      <w:pPr>
        <w:tabs>
          <w:tab w:val="left" w:pos="284"/>
          <w:tab w:val="left" w:pos="567"/>
          <w:tab w:val="left" w:pos="851"/>
        </w:tabs>
      </w:pPr>
    </w:p>
    <w:p w14:paraId="45AD2D19" w14:textId="3A449DE7" w:rsidR="00C93209" w:rsidRDefault="00C93209" w:rsidP="00E275AD">
      <w:pPr>
        <w:tabs>
          <w:tab w:val="left" w:pos="284"/>
          <w:tab w:val="left" w:pos="567"/>
          <w:tab w:val="left" w:pos="851"/>
        </w:tabs>
      </w:pPr>
      <w:r>
        <w:t>Obavljena je revizi</w:t>
      </w:r>
      <w:r w:rsidR="00A8669F">
        <w:t>ja 21 trgovačkog društva i tri l</w:t>
      </w:r>
      <w:r>
        <w:t xml:space="preserve">jekarne. Kod </w:t>
      </w:r>
      <w:r w:rsidR="00A8669F">
        <w:t>13 trgovačkih društava i jedne l</w:t>
      </w:r>
      <w:r>
        <w:t>jekarne obuhvaćeni su financijski izvještaji i poslovanje za 2024., a kod os</w:t>
      </w:r>
      <w:r w:rsidR="00A8669F">
        <w:t>am trgovačkih društava i dvije l</w:t>
      </w:r>
      <w:r>
        <w:t>jekarne financijski izvještaji i poslovanje za 2023.</w:t>
      </w:r>
    </w:p>
    <w:p w14:paraId="1FA80135" w14:textId="77777777" w:rsidR="00C93209" w:rsidRDefault="00C93209" w:rsidP="00E275AD">
      <w:pPr>
        <w:tabs>
          <w:tab w:val="left" w:pos="284"/>
          <w:tab w:val="left" w:pos="567"/>
          <w:tab w:val="left" w:pos="851"/>
        </w:tabs>
      </w:pPr>
    </w:p>
    <w:p w14:paraId="0B432207" w14:textId="77777777" w:rsidR="00C93209" w:rsidRDefault="00C93209" w:rsidP="00E275AD">
      <w:pPr>
        <w:tabs>
          <w:tab w:val="left" w:pos="284"/>
          <w:tab w:val="left" w:pos="567"/>
          <w:tab w:val="left" w:pos="851"/>
        </w:tabs>
        <w:rPr>
          <w:b/>
        </w:rPr>
      </w:pPr>
      <w:r w:rsidRPr="005160D2">
        <w:rPr>
          <w:b/>
        </w:rPr>
        <w:t>O financijskim izvještajima izraženo je deset bezuvjetnih, 13 uvjetnih te jedno nepovoljno mišljenje, a o usklađenosti poslovanja tri bezuvjetna i 21 uvjetno mišljenje.</w:t>
      </w:r>
    </w:p>
    <w:p w14:paraId="297D1CDE" w14:textId="77777777" w:rsidR="005160D2" w:rsidRPr="005160D2" w:rsidRDefault="005160D2" w:rsidP="00E275AD">
      <w:pPr>
        <w:tabs>
          <w:tab w:val="left" w:pos="284"/>
          <w:tab w:val="left" w:pos="567"/>
          <w:tab w:val="left" w:pos="851"/>
        </w:tabs>
        <w:rPr>
          <w:b/>
        </w:rPr>
      </w:pPr>
    </w:p>
    <w:p w14:paraId="3FC93E93" w14:textId="14ABCFD2" w:rsidR="00C93209" w:rsidRDefault="00C93209" w:rsidP="00E275AD">
      <w:pPr>
        <w:tabs>
          <w:tab w:val="left" w:pos="284"/>
          <w:tab w:val="left" w:pos="567"/>
          <w:tab w:val="left" w:pos="851"/>
        </w:tabs>
      </w:pPr>
      <w:r>
        <w:t xml:space="preserve">Utvrđene nepravilnosti i propusti </w:t>
      </w:r>
      <w:r w:rsidR="00A8669F">
        <w:t>odnosili su se na djelokrug</w:t>
      </w:r>
      <w:r>
        <w:t xml:space="preserve">, sustav unutarnjih kontrola, planiranje, računovodstveno poslovanje i financijske izvještaje, prihode i potraživanja, rashode i obveze, imovinu te javnu nabavu. </w:t>
      </w:r>
    </w:p>
    <w:p w14:paraId="267263A6" w14:textId="77777777" w:rsidR="00C93209" w:rsidRDefault="00C93209" w:rsidP="00E275AD">
      <w:pPr>
        <w:tabs>
          <w:tab w:val="left" w:pos="567"/>
          <w:tab w:val="left" w:pos="851"/>
        </w:tabs>
        <w:ind w:left="567" w:hanging="567"/>
      </w:pPr>
      <w:r>
        <w:tab/>
        <w:t>U nastavku se navode značajnije nepravilnosti:</w:t>
      </w:r>
    </w:p>
    <w:p w14:paraId="0D658D68" w14:textId="1FE6B24F" w:rsidR="00C93209" w:rsidRDefault="00A8669F" w:rsidP="00E275AD">
      <w:pPr>
        <w:tabs>
          <w:tab w:val="left" w:pos="567"/>
          <w:tab w:val="left" w:pos="851"/>
        </w:tabs>
        <w:ind w:left="567" w:hanging="567"/>
      </w:pPr>
      <w:r>
        <w:t>–</w:t>
      </w:r>
      <w:r>
        <w:tab/>
        <w:t>P</w:t>
      </w:r>
      <w:r w:rsidR="00C93209">
        <w:t>oje</w:t>
      </w:r>
      <w:r>
        <w:t>dina trgovačka društva i jedna l</w:t>
      </w:r>
      <w:r w:rsidR="00C93209">
        <w:t>jekarna nisu utvrdili poslovne ciljeve, a tri trgovačka društva nisu utvrdila misiju i viziju</w:t>
      </w:r>
      <w:r>
        <w:t>.</w:t>
      </w:r>
    </w:p>
    <w:p w14:paraId="0BEE87CE" w14:textId="2C1A8FF7" w:rsidR="00C93209" w:rsidRDefault="00A8669F" w:rsidP="00E275AD">
      <w:pPr>
        <w:tabs>
          <w:tab w:val="left" w:pos="567"/>
          <w:tab w:val="left" w:pos="851"/>
        </w:tabs>
        <w:ind w:left="567" w:hanging="567"/>
      </w:pPr>
      <w:r>
        <w:t>–</w:t>
      </w:r>
      <w:r>
        <w:tab/>
        <w:t>P</w:t>
      </w:r>
      <w:r w:rsidR="00C93209">
        <w:t>ojedina trgovačka društva nisu utvrdila rizike te uspostavila registar rizika</w:t>
      </w:r>
      <w:r>
        <w:t>.</w:t>
      </w:r>
      <w:r w:rsidR="00C93209">
        <w:t xml:space="preserve"> </w:t>
      </w:r>
    </w:p>
    <w:p w14:paraId="58DCA614" w14:textId="7295CAEC" w:rsidR="00C93209" w:rsidRDefault="00A8669F" w:rsidP="00E275AD">
      <w:pPr>
        <w:tabs>
          <w:tab w:val="left" w:pos="567"/>
          <w:tab w:val="left" w:pos="851"/>
        </w:tabs>
        <w:ind w:left="567" w:hanging="567"/>
      </w:pPr>
      <w:r>
        <w:t>–</w:t>
      </w:r>
      <w:r>
        <w:tab/>
        <w:t>Pojedina trgovačka društva i l</w:t>
      </w:r>
      <w:r w:rsidR="00C93209">
        <w:t>jekarne nisu svojim unutarn</w:t>
      </w:r>
      <w:r w:rsidR="00C20E78">
        <w:t>jim aktima i procedurama uredili</w:t>
      </w:r>
      <w:r w:rsidR="00C93209">
        <w:t xml:space="preserve"> značajnije poslovne procese</w:t>
      </w:r>
      <w:r>
        <w:t>.</w:t>
      </w:r>
    </w:p>
    <w:p w14:paraId="23DC289B" w14:textId="43EED868" w:rsidR="00C93209" w:rsidRDefault="00A8669F" w:rsidP="00E275AD">
      <w:pPr>
        <w:tabs>
          <w:tab w:val="left" w:pos="567"/>
          <w:tab w:val="left" w:pos="851"/>
        </w:tabs>
        <w:ind w:left="567" w:hanging="567"/>
      </w:pPr>
      <w:r>
        <w:t>–</w:t>
      </w:r>
      <w:r>
        <w:tab/>
        <w:t>Pojedina trgovačka društva i l</w:t>
      </w:r>
      <w:r w:rsidR="00C93209">
        <w:t>jekarne nisu donijeli strateški plan niti su nekim drugim planskim dokumentom utvrdili strateški smjer i dugoročne ciljeve razvoja, aktivnosti potrebne za ostvarenje ciljeva te mjere za procjenu uspješnosti ostvarenja zadanih ciljeva</w:t>
      </w:r>
      <w:r>
        <w:t>.</w:t>
      </w:r>
    </w:p>
    <w:p w14:paraId="500E85E5" w14:textId="5F13B5A0" w:rsidR="00C93209" w:rsidRDefault="00A8669F" w:rsidP="00E275AD">
      <w:pPr>
        <w:tabs>
          <w:tab w:val="left" w:pos="567"/>
          <w:tab w:val="left" w:pos="851"/>
        </w:tabs>
        <w:ind w:left="567" w:hanging="567"/>
      </w:pPr>
      <w:r>
        <w:t>–</w:t>
      </w:r>
      <w:r>
        <w:tab/>
        <w:t>Pojedina trgovačka društva i l</w:t>
      </w:r>
      <w:r w:rsidR="00C93209">
        <w:t>jeka</w:t>
      </w:r>
      <w:r>
        <w:t>rne nisu donijeli poslovne planove ili p</w:t>
      </w:r>
      <w:r w:rsidR="00C93209">
        <w:t>lanom i programom rada nisu utvrđeni poslovni ciljevi ili su predviđene aktivnosti za ostvarenje poslovnih ciljeva utvrđene opisno bez navođenja financijskih iznosa, mjera i rokova za provedbu</w:t>
      </w:r>
      <w:r w:rsidR="00227FAA">
        <w:t>.</w:t>
      </w:r>
      <w:r w:rsidR="00C93209">
        <w:t xml:space="preserve"> </w:t>
      </w:r>
    </w:p>
    <w:p w14:paraId="583375E3" w14:textId="14BA22FD" w:rsidR="00C93209" w:rsidRDefault="00227FAA" w:rsidP="00E275AD">
      <w:pPr>
        <w:tabs>
          <w:tab w:val="left" w:pos="567"/>
          <w:tab w:val="left" w:pos="851"/>
        </w:tabs>
        <w:ind w:left="567" w:hanging="567"/>
      </w:pPr>
      <w:r>
        <w:t>–</w:t>
      </w:r>
      <w:r>
        <w:tab/>
        <w:t>N</w:t>
      </w:r>
      <w:r w:rsidR="00C93209">
        <w:t>isu sastavljena izvješća o ostvarenju poslovnog plana, iz kojih bi bila vidljiva usporedba planiranog i ostvarenog, razlozi odstupanja te usporedba pokazatelja uspješnosti s prijašnjim razdobljima</w:t>
      </w:r>
      <w:r>
        <w:t>.</w:t>
      </w:r>
      <w:r w:rsidR="00C93209">
        <w:t xml:space="preserve"> </w:t>
      </w:r>
    </w:p>
    <w:p w14:paraId="493E5B2F" w14:textId="5E4AAFE8" w:rsidR="00C93209" w:rsidRDefault="00227FAA" w:rsidP="00E275AD">
      <w:pPr>
        <w:tabs>
          <w:tab w:val="left" w:pos="567"/>
          <w:tab w:val="left" w:pos="851"/>
        </w:tabs>
        <w:ind w:left="567" w:hanging="567"/>
      </w:pPr>
      <w:r>
        <w:t>–</w:t>
      </w:r>
      <w:r>
        <w:tab/>
        <w:t>O</w:t>
      </w:r>
      <w:r w:rsidR="00C93209">
        <w:t>bavljeni popis imovine i obveza nije cjelovit</w:t>
      </w:r>
      <w:r>
        <w:t>.</w:t>
      </w:r>
    </w:p>
    <w:p w14:paraId="783CEC1E" w14:textId="5D7B8A33" w:rsidR="00C93209" w:rsidRDefault="00227FAA" w:rsidP="00E275AD">
      <w:pPr>
        <w:tabs>
          <w:tab w:val="left" w:pos="567"/>
          <w:tab w:val="left" w:pos="851"/>
        </w:tabs>
        <w:ind w:left="567" w:hanging="567"/>
      </w:pPr>
      <w:r>
        <w:t>–</w:t>
      </w:r>
      <w:r>
        <w:tab/>
        <w:t>K</w:t>
      </w:r>
      <w:r w:rsidR="00C93209">
        <w:t>od pojedinih trgovačkih društava amortizacija nije obračunana ili je obračunana pogrešno</w:t>
      </w:r>
      <w:r>
        <w:t>.</w:t>
      </w:r>
    </w:p>
    <w:p w14:paraId="543B3721" w14:textId="2233B38F" w:rsidR="00C93209" w:rsidRDefault="00227FAA" w:rsidP="00E275AD">
      <w:pPr>
        <w:tabs>
          <w:tab w:val="left" w:pos="567"/>
          <w:tab w:val="left" w:pos="851"/>
        </w:tabs>
        <w:ind w:left="567" w:hanging="567"/>
      </w:pPr>
      <w:r>
        <w:t>–</w:t>
      </w:r>
      <w:r>
        <w:tab/>
        <w:t>V</w:t>
      </w:r>
      <w:r w:rsidR="00C93209">
        <w:t>rijednost dugotrajne imovine evidentirana u glavnoj knjizi i iskazana u financijskim izvještajima nije jednaka podacima u pomoćnim knjigama</w:t>
      </w:r>
      <w:r>
        <w:t>.</w:t>
      </w:r>
    </w:p>
    <w:p w14:paraId="7EBECD1E" w14:textId="434254A9" w:rsidR="00C93209" w:rsidRDefault="00227FAA" w:rsidP="00E275AD">
      <w:pPr>
        <w:tabs>
          <w:tab w:val="left" w:pos="567"/>
          <w:tab w:val="left" w:pos="851"/>
        </w:tabs>
        <w:ind w:left="567" w:hanging="567"/>
      </w:pPr>
      <w:r>
        <w:t>–</w:t>
      </w:r>
      <w:r>
        <w:tab/>
        <w:t>P</w:t>
      </w:r>
      <w:r w:rsidR="00C93209">
        <w:t>ojedini poslovni događaji u poslovnim knjigama nisu evidentirani na temelju vjerodostojne i uredne knjigovodstvene isprave</w:t>
      </w:r>
      <w:r>
        <w:t>.</w:t>
      </w:r>
    </w:p>
    <w:p w14:paraId="78CFF9D2" w14:textId="6FDAD295" w:rsidR="00C93209" w:rsidRDefault="00227FAA" w:rsidP="00E275AD">
      <w:pPr>
        <w:tabs>
          <w:tab w:val="left" w:pos="567"/>
          <w:tab w:val="left" w:pos="851"/>
        </w:tabs>
        <w:ind w:left="567" w:hanging="567"/>
      </w:pPr>
      <w:r>
        <w:t>–</w:t>
      </w:r>
      <w:r>
        <w:tab/>
        <w:t>J</w:t>
      </w:r>
      <w:r w:rsidR="00C93209">
        <w:t>edinstvena evidencija prihoda i rashoda od javne usluge sakupljanja komunalnog otpada nije ustrojena zbog čega je otežano u svakom trenutku dobiti podatke o ostvarenim prihodima i rashodima od navedene djelatnosti</w:t>
      </w:r>
      <w:r>
        <w:t>.</w:t>
      </w:r>
    </w:p>
    <w:p w14:paraId="776EA354" w14:textId="77777777" w:rsidR="00792A3F" w:rsidRDefault="00792A3F" w:rsidP="00E275AD">
      <w:pPr>
        <w:tabs>
          <w:tab w:val="left" w:pos="567"/>
          <w:tab w:val="left" w:pos="851"/>
        </w:tabs>
        <w:ind w:left="567" w:hanging="567"/>
      </w:pPr>
    </w:p>
    <w:p w14:paraId="5DAFEC4B" w14:textId="282358EA" w:rsidR="00C93209" w:rsidRDefault="00227FAA" w:rsidP="00E275AD">
      <w:pPr>
        <w:tabs>
          <w:tab w:val="left" w:pos="567"/>
          <w:tab w:val="left" w:pos="851"/>
        </w:tabs>
        <w:ind w:left="567" w:hanging="567"/>
      </w:pPr>
      <w:r>
        <w:lastRenderedPageBreak/>
        <w:t>–</w:t>
      </w:r>
      <w:r>
        <w:tab/>
        <w:t>P</w:t>
      </w:r>
      <w:r w:rsidR="00C93209">
        <w:t>rihodi i rashodi od komunalne djelatnosti održavanja javnih zelenih površina i održavanja čistoće javnih površina ne prate se odvojeno</w:t>
      </w:r>
      <w:r>
        <w:t>.</w:t>
      </w:r>
    </w:p>
    <w:p w14:paraId="4108CE97" w14:textId="32D0B42F" w:rsidR="00C93209" w:rsidRDefault="00227FAA" w:rsidP="00E275AD">
      <w:pPr>
        <w:tabs>
          <w:tab w:val="left" w:pos="567"/>
          <w:tab w:val="left" w:pos="851"/>
        </w:tabs>
        <w:ind w:left="567" w:hanging="567"/>
      </w:pPr>
      <w:r>
        <w:t>–</w:t>
      </w:r>
      <w:r>
        <w:tab/>
        <w:t>I</w:t>
      </w:r>
      <w:r w:rsidR="00C93209">
        <w:t>ako su poduzimane mjere naplate, potraživanja su i dalje značajna, za potraživanja starija od 365 dana nije proveden ispravak vrijednosti, za naplatu potraživanja nisu donesene procedure</w:t>
      </w:r>
      <w:r>
        <w:t>.</w:t>
      </w:r>
    </w:p>
    <w:p w14:paraId="09EA4C6D" w14:textId="4C0D9ACF" w:rsidR="00C93209" w:rsidRDefault="00227FAA" w:rsidP="00E275AD">
      <w:pPr>
        <w:tabs>
          <w:tab w:val="left" w:pos="567"/>
          <w:tab w:val="left" w:pos="851"/>
        </w:tabs>
        <w:ind w:left="567" w:hanging="567"/>
      </w:pPr>
      <w:r>
        <w:t>–</w:t>
      </w:r>
      <w:r>
        <w:tab/>
        <w:t>N</w:t>
      </w:r>
      <w:r w:rsidR="00C93209">
        <w:t xml:space="preserve">agrade za rezultate rada i </w:t>
      </w:r>
      <w:r w:rsidR="00C20E78">
        <w:t>stimulativni dio plaće isplaćeni</w:t>
      </w:r>
      <w:r w:rsidR="00C93209">
        <w:t xml:space="preserve"> su pojedinim zaposlenicima bez utvrđenih mjerljivih kriterija</w:t>
      </w:r>
      <w:r>
        <w:t>.</w:t>
      </w:r>
    </w:p>
    <w:p w14:paraId="7C82B5B4" w14:textId="13F88736" w:rsidR="00C93209" w:rsidRDefault="00227FAA" w:rsidP="00E275AD">
      <w:pPr>
        <w:tabs>
          <w:tab w:val="left" w:pos="567"/>
          <w:tab w:val="left" w:pos="851"/>
        </w:tabs>
        <w:ind w:left="567" w:hanging="567"/>
      </w:pPr>
      <w:r>
        <w:t>–</w:t>
      </w:r>
      <w:r>
        <w:tab/>
        <w:t>U</w:t>
      </w:r>
      <w:r w:rsidR="00C93209">
        <w:t>z putne naloge na temelju kojih su isplaćivane naknade troškova na službenom putu nisu priložena izvješća o obavljenom službenom putu</w:t>
      </w:r>
      <w:r>
        <w:t>.</w:t>
      </w:r>
    </w:p>
    <w:p w14:paraId="3D81BEDD" w14:textId="4185DBE4" w:rsidR="00C93209" w:rsidRDefault="00227FAA" w:rsidP="00E275AD">
      <w:pPr>
        <w:tabs>
          <w:tab w:val="left" w:pos="567"/>
          <w:tab w:val="left" w:pos="851"/>
        </w:tabs>
        <w:ind w:left="567" w:hanging="567"/>
      </w:pPr>
      <w:r>
        <w:t>–</w:t>
      </w:r>
      <w:r>
        <w:tab/>
        <w:t>P</w:t>
      </w:r>
      <w:r w:rsidR="00C93209">
        <w:t>rije zaključivanja ugovora o zakupu i ulaganja u obnov</w:t>
      </w:r>
      <w:r>
        <w:t>u dijelova zgrade u vlasništvu g</w:t>
      </w:r>
      <w:r w:rsidR="00C93209">
        <w:t>rada nije preispitana opravdanost ulaganja odnosno sastavljena analiza isplativosti uzimanja u zakup dijelova zgrade na temelju stvarnih potreba</w:t>
      </w:r>
      <w:r>
        <w:t>.</w:t>
      </w:r>
    </w:p>
    <w:p w14:paraId="35840385" w14:textId="1C1E9C10" w:rsidR="00C93209" w:rsidRDefault="00227FAA" w:rsidP="00E275AD">
      <w:pPr>
        <w:tabs>
          <w:tab w:val="left" w:pos="567"/>
          <w:tab w:val="left" w:pos="851"/>
        </w:tabs>
        <w:ind w:left="567" w:hanging="567"/>
      </w:pPr>
      <w:r>
        <w:t>–</w:t>
      </w:r>
      <w:r>
        <w:tab/>
        <w:t>A</w:t>
      </w:r>
      <w:r w:rsidR="00C93209">
        <w:t>naliza korištenja vozila, starosti vozila, ispravnosti vozila i drugoga nije sastavljena,  nije utvrđen okvirni broj potrebnih teretnih vozila i radnih strojeva te drugih vozila za obavljanje djelatnosti, za potrebe obnove voznog parka nije utvrđen način i kriteriji nabave</w:t>
      </w:r>
      <w:r>
        <w:t>.</w:t>
      </w:r>
    </w:p>
    <w:p w14:paraId="2487D9FD" w14:textId="38360CFA" w:rsidR="00C93209" w:rsidRDefault="00227FAA" w:rsidP="00E275AD">
      <w:pPr>
        <w:tabs>
          <w:tab w:val="left" w:pos="567"/>
          <w:tab w:val="left" w:pos="851"/>
        </w:tabs>
        <w:ind w:left="567" w:hanging="567"/>
      </w:pPr>
      <w:r>
        <w:t>–</w:t>
      </w:r>
      <w:r>
        <w:tab/>
        <w:t>N</w:t>
      </w:r>
      <w:r w:rsidR="00C93209">
        <w:t>isu utvrđeni kriteriji dodjele službenih osobnih vozila na korištenje 24 sata</w:t>
      </w:r>
      <w:r>
        <w:t>.</w:t>
      </w:r>
    </w:p>
    <w:p w14:paraId="0AC27C21" w14:textId="35E28C8D" w:rsidR="00C93209" w:rsidRDefault="00227FAA" w:rsidP="00E275AD">
      <w:pPr>
        <w:tabs>
          <w:tab w:val="left" w:pos="567"/>
          <w:tab w:val="left" w:pos="851"/>
        </w:tabs>
        <w:ind w:left="567" w:hanging="567"/>
      </w:pPr>
      <w:r>
        <w:t>–</w:t>
      </w:r>
      <w:r>
        <w:tab/>
        <w:t>P</w:t>
      </w:r>
      <w:r w:rsidR="00C93209">
        <w:t>lan nabave roba, radova i usluga pojedini</w:t>
      </w:r>
      <w:r>
        <w:t>h trgovačkih društava i l</w:t>
      </w:r>
      <w:r w:rsidR="00C93209">
        <w:t xml:space="preserve">jekarni ne sadrži predmete nabave vrijednosti jednake ili veće </w:t>
      </w:r>
      <w:r>
        <w:t xml:space="preserve">od </w:t>
      </w:r>
      <w:r w:rsidR="00C93209">
        <w:t xml:space="preserve">2.650,00 eura, izmjene i dopune planova nabave u slučajevima kada ostvarenje odstupa od plana nisu donesene, plan nabave nije objavljen u Elektroničkom oglasniku javne nabave. </w:t>
      </w:r>
    </w:p>
    <w:p w14:paraId="6220C0D3" w14:textId="632D9903" w:rsidR="00C93209" w:rsidRDefault="00227FAA" w:rsidP="00E275AD">
      <w:pPr>
        <w:tabs>
          <w:tab w:val="left" w:pos="567"/>
          <w:tab w:val="left" w:pos="851"/>
        </w:tabs>
        <w:ind w:left="567" w:hanging="567"/>
      </w:pPr>
      <w:r>
        <w:t>–</w:t>
      </w:r>
      <w:r>
        <w:tab/>
        <w:t>Z</w:t>
      </w:r>
      <w:r w:rsidR="00C93209">
        <w:t>a pojedine nabave roba, radova i usluga nisu poštovani načini nabave propisani unutarnjim aktima, jer su nabave obavljene ispostavljanjem narudžbenice izravno odabranom dobavljaču ili izravnim ugovaranjem, a trebalo je uputiti poziv na dostavu ponuda.</w:t>
      </w:r>
    </w:p>
    <w:p w14:paraId="1D923965" w14:textId="577039AB" w:rsidR="00C93209" w:rsidRDefault="00227FAA" w:rsidP="00E275AD">
      <w:pPr>
        <w:tabs>
          <w:tab w:val="left" w:pos="567"/>
          <w:tab w:val="left" w:pos="851"/>
        </w:tabs>
        <w:ind w:left="567" w:hanging="567"/>
      </w:pPr>
      <w:r>
        <w:t>–</w:t>
      </w:r>
      <w:r>
        <w:tab/>
        <w:t>B</w:t>
      </w:r>
      <w:r w:rsidR="00C93209">
        <w:t>ez provedbe postupaka nabave nabavljeno je roba, radova i usluga u v</w:t>
      </w:r>
      <w:r>
        <w:t>rijednosti od 20.753.071,91 euro.</w:t>
      </w:r>
    </w:p>
    <w:p w14:paraId="0DB089E6" w14:textId="208C7067" w:rsidR="00C93209" w:rsidRDefault="00227FAA" w:rsidP="00E275AD">
      <w:pPr>
        <w:tabs>
          <w:tab w:val="left" w:pos="567"/>
          <w:tab w:val="left" w:pos="851"/>
        </w:tabs>
        <w:ind w:left="567" w:hanging="567"/>
      </w:pPr>
      <w:r>
        <w:t>–</w:t>
      </w:r>
      <w:r>
        <w:tab/>
        <w:t>Z</w:t>
      </w:r>
      <w:r w:rsidR="00C93209">
        <w:t>a dugoročno zaduživanje nije pribavljena suglasnost većinskog vlasnika, odnosno osnivača.</w:t>
      </w:r>
    </w:p>
    <w:p w14:paraId="48A6E47E" w14:textId="77777777" w:rsidR="00C93209" w:rsidRDefault="00C93209" w:rsidP="00E275AD">
      <w:pPr>
        <w:tabs>
          <w:tab w:val="left" w:pos="284"/>
          <w:tab w:val="left" w:pos="567"/>
          <w:tab w:val="left" w:pos="851"/>
        </w:tabs>
      </w:pPr>
    </w:p>
    <w:p w14:paraId="4598887F" w14:textId="70709076" w:rsidR="00C93209" w:rsidRPr="00CD632C" w:rsidRDefault="00C93209" w:rsidP="00E275AD">
      <w:pPr>
        <w:tabs>
          <w:tab w:val="left" w:pos="284"/>
          <w:tab w:val="left" w:pos="567"/>
          <w:tab w:val="left" w:pos="851"/>
        </w:tabs>
        <w:rPr>
          <w:b/>
        </w:rPr>
      </w:pPr>
      <w:r>
        <w:t xml:space="preserve">Za otklanjanje nepravilnosti i propusta utvrđenih revizijom Ured </w:t>
      </w:r>
      <w:r w:rsidR="00227FAA">
        <w:t>je ovim trgovačkim društvima i l</w:t>
      </w:r>
      <w:r>
        <w:t xml:space="preserve">jekarnama dao </w:t>
      </w:r>
      <w:r w:rsidRPr="00CD632C">
        <w:rPr>
          <w:b/>
        </w:rPr>
        <w:t xml:space="preserve">410 naloga i preporuka. </w:t>
      </w:r>
    </w:p>
    <w:p w14:paraId="07B937FF" w14:textId="77777777" w:rsidR="00C93209" w:rsidRDefault="00C93209" w:rsidP="00E275AD">
      <w:pPr>
        <w:tabs>
          <w:tab w:val="left" w:pos="284"/>
          <w:tab w:val="left" w:pos="567"/>
          <w:tab w:val="left" w:pos="851"/>
        </w:tabs>
      </w:pPr>
    </w:p>
    <w:p w14:paraId="67A5EC87" w14:textId="40F8C4FA" w:rsidR="00C93209" w:rsidRDefault="00C93209" w:rsidP="00E275AD">
      <w:pPr>
        <w:tabs>
          <w:tab w:val="left" w:pos="284"/>
          <w:tab w:val="left" w:pos="567"/>
          <w:tab w:val="left" w:pos="851"/>
        </w:tabs>
      </w:pPr>
      <w:r>
        <w:t>Osim toga, utvrđeno je da je</w:t>
      </w:r>
      <w:r w:rsidR="00C20E78">
        <w:t>,</w:t>
      </w:r>
      <w:r>
        <w:t xml:space="preserve"> od 59 naloga i preporuka danih u prošlim revizijama, provedeno 36 naloga i preporuka ili 61,0 %, 14 ili 23,7 % nije provedeno, djelomično su provedena tri naloga ili 5,1 %</w:t>
      </w:r>
      <w:r w:rsidR="00227FAA">
        <w:t>, a šest naloga i preporuka nije primjenjivo</w:t>
      </w:r>
      <w:r>
        <w:t xml:space="preserve"> ili 10,2 %.</w:t>
      </w:r>
    </w:p>
    <w:p w14:paraId="636FEE67" w14:textId="77777777" w:rsidR="007900A4" w:rsidRDefault="007900A4" w:rsidP="00E275AD">
      <w:pPr>
        <w:tabs>
          <w:tab w:val="left" w:pos="284"/>
          <w:tab w:val="left" w:pos="567"/>
          <w:tab w:val="left" w:pos="851"/>
        </w:tabs>
      </w:pPr>
    </w:p>
    <w:p w14:paraId="5819CCD1" w14:textId="5E750BBB" w:rsidR="007900A4" w:rsidRPr="00DD6E52" w:rsidRDefault="00DD6E52" w:rsidP="00E275AD">
      <w:pPr>
        <w:tabs>
          <w:tab w:val="left" w:pos="284"/>
          <w:tab w:val="left" w:pos="567"/>
          <w:tab w:val="left" w:pos="851"/>
        </w:tabs>
        <w:rPr>
          <w:b/>
        </w:rPr>
      </w:pPr>
      <w:r w:rsidRPr="00CF76B7">
        <w:rPr>
          <w:b/>
        </w:rPr>
        <w:t>Za Komunalno društvo Kutjevo d.o.o. izraženo je nepovoljno mišljenje o f</w:t>
      </w:r>
      <w:r w:rsidR="00CF76B7" w:rsidRPr="00CF76B7">
        <w:rPr>
          <w:b/>
        </w:rPr>
        <w:t>inancijskim izvještajima, uglavnom zbog</w:t>
      </w:r>
      <w:r w:rsidR="00CF76B7">
        <w:rPr>
          <w:b/>
        </w:rPr>
        <w:t xml:space="preserve"> pogrešnog evidentiranja imovine i obveza u poslovnim knjigama pa ni podaci u financijskim izvještajima nisu točni ni pouzdani.</w:t>
      </w:r>
    </w:p>
    <w:p w14:paraId="70D3613D" w14:textId="77777777" w:rsidR="004A57C2" w:rsidRDefault="004A57C2" w:rsidP="00E275AD">
      <w:pPr>
        <w:pBdr>
          <w:bottom w:val="single" w:sz="4" w:space="1" w:color="auto"/>
        </w:pBdr>
        <w:tabs>
          <w:tab w:val="left" w:pos="284"/>
          <w:tab w:val="left" w:pos="567"/>
          <w:tab w:val="left" w:pos="851"/>
        </w:tabs>
      </w:pPr>
    </w:p>
    <w:p w14:paraId="78464FE7" w14:textId="77777777" w:rsidR="005160D2" w:rsidRDefault="005160D2" w:rsidP="00E275AD">
      <w:pPr>
        <w:tabs>
          <w:tab w:val="left" w:pos="284"/>
          <w:tab w:val="left" w:pos="567"/>
          <w:tab w:val="left" w:pos="851"/>
        </w:tabs>
      </w:pPr>
    </w:p>
    <w:p w14:paraId="3C743CBE" w14:textId="77777777" w:rsidR="00C93209" w:rsidRDefault="00C93209" w:rsidP="00E275AD">
      <w:pPr>
        <w:tabs>
          <w:tab w:val="left" w:pos="284"/>
          <w:tab w:val="left" w:pos="567"/>
          <w:tab w:val="left" w:pos="851"/>
        </w:tabs>
      </w:pPr>
    </w:p>
    <w:p w14:paraId="524B072F" w14:textId="77777777" w:rsidR="00C93209" w:rsidRPr="00A93C41" w:rsidRDefault="000C2CD7" w:rsidP="00E275AD">
      <w:pPr>
        <w:shd w:val="clear" w:color="auto" w:fill="D9D9D9" w:themeFill="background1" w:themeFillShade="D9"/>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textAlignment w:val="baseline"/>
        <w:rPr>
          <w:rFonts w:eastAsia="Calibri" w:cs="Arial"/>
          <w:b/>
        </w:rPr>
      </w:pPr>
      <w:r>
        <w:rPr>
          <w:rFonts w:eastAsia="Calibri" w:cs="Arial"/>
          <w:b/>
        </w:rPr>
        <w:t xml:space="preserve">III. </w:t>
      </w:r>
      <w:r w:rsidR="00C93209" w:rsidRPr="00A93C41">
        <w:rPr>
          <w:rFonts w:eastAsia="Calibri" w:cs="Arial"/>
          <w:b/>
        </w:rPr>
        <w:t>REVIZIJE UČINKOVITOSTI</w:t>
      </w:r>
    </w:p>
    <w:p w14:paraId="235F7ED3" w14:textId="77777777" w:rsidR="00C93209" w:rsidRDefault="00C93209" w:rsidP="00E275AD">
      <w:pPr>
        <w:tabs>
          <w:tab w:val="left" w:pos="284"/>
          <w:tab w:val="left" w:pos="567"/>
          <w:tab w:val="left" w:pos="851"/>
        </w:tabs>
      </w:pPr>
    </w:p>
    <w:p w14:paraId="21913BF2" w14:textId="6A7CC9F8" w:rsidR="006B7D1D" w:rsidRDefault="006B7D1D" w:rsidP="00E275AD">
      <w:pPr>
        <w:tabs>
          <w:tab w:val="left" w:pos="284"/>
          <w:tab w:val="left" w:pos="567"/>
          <w:tab w:val="left" w:pos="851"/>
        </w:tabs>
      </w:pPr>
      <w:r w:rsidRPr="006B7D1D">
        <w:t>Revizijom učinkovitosti provjerava se ostvaruju li se projekti, programi i aktivnosti subjekta revizije u skladu s načelima ekonomičnosti, djelotvornosti i svrsishodnosti. Daje se ocjena učinkovitosti, koja može biti: učinkovito; učinkovito, pri čemu su potrebna poboljšanja; djelomično učinkovito; neučinkovito.</w:t>
      </w:r>
    </w:p>
    <w:p w14:paraId="505D240E" w14:textId="203D1BAF" w:rsidR="00792A3F" w:rsidRDefault="00792A3F" w:rsidP="00E275AD">
      <w:pPr>
        <w:tabs>
          <w:tab w:val="left" w:pos="284"/>
          <w:tab w:val="left" w:pos="567"/>
          <w:tab w:val="left" w:pos="851"/>
        </w:tabs>
      </w:pPr>
    </w:p>
    <w:p w14:paraId="635BBFF2" w14:textId="77777777" w:rsidR="00792A3F" w:rsidRDefault="00792A3F" w:rsidP="00E275AD">
      <w:pPr>
        <w:tabs>
          <w:tab w:val="left" w:pos="284"/>
          <w:tab w:val="left" w:pos="567"/>
          <w:tab w:val="left" w:pos="851"/>
        </w:tabs>
      </w:pPr>
    </w:p>
    <w:p w14:paraId="5CA99385" w14:textId="038FF0CA" w:rsidR="005160D2" w:rsidRDefault="005160D2" w:rsidP="00E275AD">
      <w:pPr>
        <w:tabs>
          <w:tab w:val="left" w:pos="284"/>
          <w:tab w:val="left" w:pos="567"/>
          <w:tab w:val="left" w:pos="851"/>
        </w:tabs>
      </w:pPr>
    </w:p>
    <w:p w14:paraId="708D3D2A" w14:textId="77777777" w:rsidR="00C93209" w:rsidRPr="00C93209" w:rsidRDefault="00C93209" w:rsidP="00E275AD">
      <w:pPr>
        <w:shd w:val="clear" w:color="auto" w:fill="D9D9D9" w:themeFill="background1" w:themeFillShade="D9"/>
        <w:tabs>
          <w:tab w:val="left" w:pos="567"/>
        </w:tabs>
        <w:rPr>
          <w:rFonts w:cs="Arial"/>
          <w:b/>
          <w:color w:val="000000"/>
        </w:rPr>
      </w:pPr>
      <w:r w:rsidRPr="00C93209">
        <w:rPr>
          <w:rFonts w:cs="Arial"/>
          <w:b/>
          <w:color w:val="000000"/>
        </w:rPr>
        <w:lastRenderedPageBreak/>
        <w:t xml:space="preserve">REVIZIJA UČINKOVITOSTI </w:t>
      </w:r>
      <w:r w:rsidRPr="00813633">
        <w:rPr>
          <w:rFonts w:cs="Arial"/>
          <w:b/>
          <w:color w:val="000000"/>
        </w:rPr>
        <w:t>UPRAVLJANJA I RASPOLAGANJA POSLOVNIM PROSTORIMA U GRADOVIMA</w:t>
      </w:r>
    </w:p>
    <w:p w14:paraId="75706B04" w14:textId="77777777" w:rsidR="00C93209" w:rsidRPr="00C93209" w:rsidRDefault="00C93209" w:rsidP="00E275AD"/>
    <w:p w14:paraId="74C674E8" w14:textId="5FE59B9E" w:rsidR="00C93209" w:rsidRPr="00813633" w:rsidRDefault="00C93209" w:rsidP="00E275AD">
      <w:pPr>
        <w:rPr>
          <w:rFonts w:cs="Arial"/>
        </w:rPr>
      </w:pPr>
      <w:r w:rsidRPr="00813633">
        <w:rPr>
          <w:rFonts w:cs="Arial"/>
        </w:rPr>
        <w:t>Revizijom učinkovitosti upravljanja i raspolaganja pos</w:t>
      </w:r>
      <w:r w:rsidR="00813633">
        <w:rPr>
          <w:rFonts w:cs="Arial"/>
        </w:rPr>
        <w:t>lovnim prostorima obuhvaćena su</w:t>
      </w:r>
      <w:r w:rsidRPr="00813633">
        <w:rPr>
          <w:rFonts w:cs="Arial"/>
        </w:rPr>
        <w:t xml:space="preserve"> </w:t>
      </w:r>
      <w:r w:rsidRPr="00813633">
        <w:rPr>
          <w:rFonts w:cs="Arial"/>
          <w:b/>
        </w:rPr>
        <w:t>23 grada</w:t>
      </w:r>
      <w:r w:rsidRPr="00813633">
        <w:rPr>
          <w:rFonts w:cs="Arial"/>
        </w:rPr>
        <w:t>, sva sjedišt</w:t>
      </w:r>
      <w:r w:rsidR="00EA4583">
        <w:rPr>
          <w:rFonts w:cs="Arial"/>
        </w:rPr>
        <w:t>a županija (osim Siska) i veliki</w:t>
      </w:r>
      <w:r w:rsidRPr="00813633">
        <w:rPr>
          <w:rFonts w:cs="Arial"/>
        </w:rPr>
        <w:t xml:space="preserve"> </w:t>
      </w:r>
      <w:r w:rsidR="00EA4583">
        <w:rPr>
          <w:rFonts w:cs="Arial"/>
        </w:rPr>
        <w:t>gradovi</w:t>
      </w:r>
      <w:r w:rsidRPr="00813633">
        <w:rPr>
          <w:rFonts w:cs="Arial"/>
        </w:rPr>
        <w:t xml:space="preserve"> (Bjelovar, Čakovec, Dubrovnik, Gospić, Karlovac, Kaštela, Koprivnica, Krapina, Osijek, Pazin, Požega, Pula, Rijeka, Samobor, Slavonski Brod, Split, Šibenik, Varaždin, Velika Gorica, Virovitica, Vukovar, Zadar i Zagreb).</w:t>
      </w:r>
    </w:p>
    <w:p w14:paraId="7C7FDD3E" w14:textId="77777777" w:rsidR="00C93209" w:rsidRPr="00813633" w:rsidRDefault="00C93209" w:rsidP="00E275AD"/>
    <w:p w14:paraId="50578231" w14:textId="77777777" w:rsidR="00C93209" w:rsidRPr="00813633" w:rsidRDefault="00C93209" w:rsidP="00E275AD">
      <w:pPr>
        <w:rPr>
          <w:rFonts w:cs="Arial"/>
        </w:rPr>
      </w:pPr>
      <w:r w:rsidRPr="00813633">
        <w:rPr>
          <w:rFonts w:cs="Arial"/>
        </w:rPr>
        <w:t>Predmet revizije bilo je vođenje evidencija o poslovnim prostorima, normativno uređenje upravljanja i raspolaganja poslovnim prostorima, upravljanje i raspolaganja poslovnim prostorima, naplata prihoda od upravljanja i raspolaganja poslovnim prostorima te organizacija i kontrola obavljanja poslova upravljanja i raspolaganja poslovnim prostorima.</w:t>
      </w:r>
    </w:p>
    <w:p w14:paraId="482A7694" w14:textId="77777777" w:rsidR="00C93209" w:rsidRPr="00813633" w:rsidRDefault="00C93209" w:rsidP="00E275AD">
      <w:pPr>
        <w:jc w:val="left"/>
        <w:rPr>
          <w:rFonts w:cs="Arial"/>
        </w:rPr>
      </w:pPr>
    </w:p>
    <w:p w14:paraId="0A7FFF77" w14:textId="339C87C8" w:rsidR="00D71DE9" w:rsidRPr="00813633" w:rsidRDefault="00C93209" w:rsidP="00E275AD">
      <w:pPr>
        <w:rPr>
          <w:rFonts w:cs="Arial"/>
        </w:rPr>
      </w:pPr>
      <w:r w:rsidRPr="00813633">
        <w:rPr>
          <w:rFonts w:cs="Arial"/>
        </w:rPr>
        <w:t>Gradovi su na koncu 2024. upravljali i raspolagali s 9 228 poslovnih prostora</w:t>
      </w:r>
      <w:r w:rsidR="00813633">
        <w:rPr>
          <w:rFonts w:cs="Arial"/>
        </w:rPr>
        <w:t>,</w:t>
      </w:r>
      <w:r w:rsidRPr="00813633">
        <w:rPr>
          <w:rFonts w:cs="Arial"/>
        </w:rPr>
        <w:t xml:space="preserve"> od koji</w:t>
      </w:r>
      <w:r w:rsidR="00745EF4">
        <w:rPr>
          <w:rFonts w:cs="Arial"/>
        </w:rPr>
        <w:t>h 651 poslovni prostor koriste g</w:t>
      </w:r>
      <w:r w:rsidRPr="00813633">
        <w:rPr>
          <w:rFonts w:cs="Arial"/>
        </w:rPr>
        <w:t>radovi za svoje potrebe, 6 308 poslovnih prostora je dano u zakup i na korištenje, 1 162 po</w:t>
      </w:r>
      <w:r w:rsidR="00745EF4">
        <w:rPr>
          <w:rFonts w:cs="Arial"/>
        </w:rPr>
        <w:t>slovna</w:t>
      </w:r>
      <w:r w:rsidR="00813633">
        <w:rPr>
          <w:rFonts w:cs="Arial"/>
        </w:rPr>
        <w:t xml:space="preserve"> prostor</w:t>
      </w:r>
      <w:r w:rsidR="00745EF4">
        <w:rPr>
          <w:rFonts w:cs="Arial"/>
        </w:rPr>
        <w:t>a su</w:t>
      </w:r>
      <w:r w:rsidR="00813633">
        <w:rPr>
          <w:rFonts w:cs="Arial"/>
        </w:rPr>
        <w:t xml:space="preserve"> izvan uporabe</w:t>
      </w:r>
      <w:r w:rsidRPr="00813633">
        <w:rPr>
          <w:rFonts w:cs="Arial"/>
        </w:rPr>
        <w:t xml:space="preserve"> te 1 107 poslovnih prostora ima ostale statuse u evidencijama Grada Zagreba.</w:t>
      </w:r>
    </w:p>
    <w:p w14:paraId="6B78342C" w14:textId="77777777" w:rsidR="00632403" w:rsidRDefault="00632403" w:rsidP="00E275AD">
      <w:pPr>
        <w:ind w:firstLine="567"/>
        <w:rPr>
          <w:rFonts w:cs="Arial"/>
          <w:color w:val="3D3D3D"/>
        </w:rPr>
      </w:pPr>
    </w:p>
    <w:p w14:paraId="7D7661CF" w14:textId="77777777" w:rsidR="006B7D1D" w:rsidRPr="00DC5298" w:rsidRDefault="00C93209" w:rsidP="00E275AD">
      <w:pPr>
        <w:ind w:firstLine="567"/>
        <w:rPr>
          <w:rFonts w:cs="Arial"/>
          <w:color w:val="3D3D3D"/>
        </w:rPr>
      </w:pPr>
      <w:r w:rsidRPr="00DC5298">
        <w:rPr>
          <w:rFonts w:eastAsia="Calibri"/>
          <w:szCs w:val="22"/>
          <w:lang w:eastAsia="en-US"/>
        </w:rPr>
        <w:t>Revizijom je, između ostalog, utvrđeno da:</w:t>
      </w:r>
    </w:p>
    <w:p w14:paraId="41933CB5" w14:textId="7213D271" w:rsidR="006B7D1D" w:rsidRPr="009754E9" w:rsidRDefault="00B004B7" w:rsidP="00E275AD">
      <w:pPr>
        <w:widowControl/>
        <w:tabs>
          <w:tab w:val="left" w:pos="567"/>
        </w:tabs>
        <w:autoSpaceDE/>
        <w:autoSpaceDN/>
        <w:adjustRightInd/>
        <w:ind w:left="567" w:hanging="567"/>
        <w:rPr>
          <w:rFonts w:eastAsia="Calibri"/>
          <w:szCs w:val="22"/>
          <w:lang w:eastAsia="en-US"/>
        </w:rPr>
      </w:pPr>
      <w:r w:rsidRPr="009754E9">
        <w:rPr>
          <w:rFonts w:eastAsia="Calibri"/>
          <w:szCs w:val="22"/>
          <w:lang w:eastAsia="en-US"/>
        </w:rPr>
        <w:t>–</w:t>
      </w:r>
      <w:r w:rsidRPr="009754E9">
        <w:rPr>
          <w:rFonts w:eastAsia="Calibri"/>
          <w:szCs w:val="22"/>
          <w:lang w:eastAsia="en-US"/>
        </w:rPr>
        <w:tab/>
      </w:r>
      <w:r w:rsidR="00813633">
        <w:rPr>
          <w:rFonts w:eastAsia="Calibri" w:cs="Arial"/>
          <w:bCs/>
          <w:iCs/>
          <w:lang w:eastAsia="en-US"/>
        </w:rPr>
        <w:t>K</w:t>
      </w:r>
      <w:r w:rsidR="00DC5298" w:rsidRPr="009754E9">
        <w:rPr>
          <w:rFonts w:eastAsia="Calibri" w:cs="Arial"/>
          <w:bCs/>
          <w:iCs/>
          <w:lang w:eastAsia="en-US"/>
        </w:rPr>
        <w:t xml:space="preserve">od pojedinih gradova nije ustrojena i </w:t>
      </w:r>
      <w:r w:rsidR="00DC5298">
        <w:rPr>
          <w:rFonts w:eastAsia="Calibri" w:cs="Arial"/>
          <w:bCs/>
          <w:iCs/>
          <w:lang w:eastAsia="en-US"/>
        </w:rPr>
        <w:t>vođena a</w:t>
      </w:r>
      <w:r w:rsidR="00C93209" w:rsidRPr="009754E9">
        <w:rPr>
          <w:rFonts w:eastAsia="Calibri" w:cs="Arial"/>
          <w:bCs/>
          <w:iCs/>
          <w:lang w:eastAsia="en-US"/>
        </w:rPr>
        <w:t>nalitička knjigovodstvena evidencija poslovnih prostora koja treba osigurati podatke o njihovoj pojedinačnoj vrijednosti (nabavna vrij</w:t>
      </w:r>
      <w:r w:rsidR="00DC5298">
        <w:rPr>
          <w:rFonts w:eastAsia="Calibri" w:cs="Arial"/>
          <w:bCs/>
          <w:iCs/>
          <w:lang w:eastAsia="en-US"/>
        </w:rPr>
        <w:t>ednost i ispravak vrijednosti)</w:t>
      </w:r>
      <w:r w:rsidR="00813633">
        <w:rPr>
          <w:rFonts w:eastAsia="Calibri" w:cs="Arial"/>
          <w:bCs/>
          <w:iCs/>
          <w:lang w:eastAsia="en-US"/>
        </w:rPr>
        <w:t>.</w:t>
      </w:r>
    </w:p>
    <w:p w14:paraId="5B6E2AED" w14:textId="40B81437" w:rsidR="006B7D1D" w:rsidRPr="009754E9" w:rsidRDefault="00B004B7" w:rsidP="00E275AD">
      <w:pPr>
        <w:widowControl/>
        <w:tabs>
          <w:tab w:val="left" w:pos="567"/>
        </w:tabs>
        <w:autoSpaceDE/>
        <w:autoSpaceDN/>
        <w:adjustRightInd/>
        <w:ind w:left="567" w:hanging="567"/>
        <w:rPr>
          <w:rFonts w:eastAsia="Calibri"/>
          <w:szCs w:val="22"/>
          <w:lang w:eastAsia="en-US"/>
        </w:rPr>
      </w:pPr>
      <w:r w:rsidRPr="009754E9">
        <w:rPr>
          <w:rFonts w:eastAsia="Calibri"/>
          <w:szCs w:val="22"/>
          <w:lang w:eastAsia="en-US"/>
        </w:rPr>
        <w:t>–</w:t>
      </w:r>
      <w:r w:rsidRPr="009754E9">
        <w:rPr>
          <w:rFonts w:eastAsia="Calibri"/>
          <w:szCs w:val="22"/>
          <w:lang w:eastAsia="en-US"/>
        </w:rPr>
        <w:tab/>
      </w:r>
      <w:r w:rsidR="00813633">
        <w:rPr>
          <w:rFonts w:eastAsia="Calibri" w:cs="Arial"/>
          <w:bCs/>
          <w:iCs/>
          <w:lang w:eastAsia="en-US"/>
        </w:rPr>
        <w:t>Z</w:t>
      </w:r>
      <w:r w:rsidR="00C93209" w:rsidRPr="009754E9">
        <w:rPr>
          <w:rFonts w:eastAsia="Calibri" w:cs="Arial"/>
          <w:bCs/>
          <w:iCs/>
          <w:lang w:eastAsia="en-US"/>
        </w:rPr>
        <w:t>načajan broj poslovnih prostora iskazan je u vrijednosti od 0,13 eura, zbog čega ukupna vrijednost imovine nije realno isk</w:t>
      </w:r>
      <w:r w:rsidR="00813633">
        <w:rPr>
          <w:rFonts w:eastAsia="Calibri" w:cs="Arial"/>
          <w:bCs/>
          <w:iCs/>
          <w:lang w:eastAsia="en-US"/>
        </w:rPr>
        <w:t>azana, a pojedini g</w:t>
      </w:r>
      <w:r w:rsidR="00C93209" w:rsidRPr="009754E9">
        <w:rPr>
          <w:rFonts w:eastAsia="Calibri" w:cs="Arial"/>
          <w:bCs/>
          <w:iCs/>
          <w:lang w:eastAsia="en-US"/>
        </w:rPr>
        <w:t>radovi nisu osnovali procjeniteljska</w:t>
      </w:r>
      <w:r w:rsidR="00DC5298">
        <w:rPr>
          <w:rFonts w:eastAsia="Calibri" w:cs="Arial"/>
          <w:bCs/>
          <w:iCs/>
          <w:lang w:eastAsia="en-US"/>
        </w:rPr>
        <w:t xml:space="preserve"> </w:t>
      </w:r>
      <w:r w:rsidR="00C93209" w:rsidRPr="009754E9">
        <w:rPr>
          <w:rFonts w:eastAsia="Calibri" w:cs="Arial"/>
          <w:bCs/>
          <w:iCs/>
          <w:lang w:eastAsia="en-US"/>
        </w:rPr>
        <w:t>povjerenstva niti su procjenjivali navedenu imovinu te knjigovodstveno us</w:t>
      </w:r>
      <w:r w:rsidR="00DC5298">
        <w:rPr>
          <w:rFonts w:eastAsia="Calibri" w:cs="Arial"/>
          <w:bCs/>
          <w:iCs/>
          <w:lang w:eastAsia="en-US"/>
        </w:rPr>
        <w:t>klađivali vrijednosti imovine</w:t>
      </w:r>
      <w:r w:rsidR="00813633">
        <w:rPr>
          <w:rFonts w:eastAsia="Calibri" w:cs="Arial"/>
          <w:bCs/>
          <w:iCs/>
          <w:lang w:eastAsia="en-US"/>
        </w:rPr>
        <w:t>.</w:t>
      </w:r>
    </w:p>
    <w:p w14:paraId="2C719A18" w14:textId="4A238B1A" w:rsidR="006B7D1D" w:rsidRPr="009754E9" w:rsidRDefault="00B004B7" w:rsidP="00E275AD">
      <w:pPr>
        <w:widowControl/>
        <w:tabs>
          <w:tab w:val="left" w:pos="567"/>
        </w:tabs>
        <w:autoSpaceDE/>
        <w:autoSpaceDN/>
        <w:adjustRightInd/>
        <w:ind w:left="567" w:hanging="567"/>
        <w:rPr>
          <w:rFonts w:eastAsia="Calibri"/>
          <w:szCs w:val="22"/>
          <w:lang w:eastAsia="en-US"/>
        </w:rPr>
      </w:pPr>
      <w:r w:rsidRPr="009754E9">
        <w:rPr>
          <w:rFonts w:eastAsia="Calibri"/>
          <w:szCs w:val="22"/>
          <w:lang w:eastAsia="en-US"/>
        </w:rPr>
        <w:t>–</w:t>
      </w:r>
      <w:r w:rsidRPr="009754E9">
        <w:rPr>
          <w:rFonts w:eastAsia="Calibri"/>
          <w:szCs w:val="22"/>
          <w:lang w:eastAsia="en-US"/>
        </w:rPr>
        <w:tab/>
      </w:r>
      <w:r w:rsidR="00813633">
        <w:rPr>
          <w:rFonts w:eastAsia="Calibri" w:cs="Arial"/>
          <w:bCs/>
          <w:iCs/>
          <w:lang w:eastAsia="en-US"/>
        </w:rPr>
        <w:t>Pojedini gradovi nisu dostavljal</w:t>
      </w:r>
      <w:r w:rsidR="00C93209" w:rsidRPr="009754E9">
        <w:rPr>
          <w:rFonts w:eastAsia="Calibri" w:cs="Arial"/>
          <w:bCs/>
          <w:iCs/>
          <w:lang w:eastAsia="en-US"/>
        </w:rPr>
        <w:t>i u Središnji registar državne imovine</w:t>
      </w:r>
      <w:r w:rsidR="00DC5298">
        <w:rPr>
          <w:rFonts w:eastAsia="Calibri" w:cs="Arial"/>
          <w:bCs/>
          <w:iCs/>
          <w:lang w:eastAsia="en-US"/>
        </w:rPr>
        <w:t xml:space="preserve"> p</w:t>
      </w:r>
      <w:r w:rsidR="00DC5298" w:rsidRPr="009754E9">
        <w:rPr>
          <w:rFonts w:eastAsia="Calibri" w:cs="Arial"/>
          <w:bCs/>
          <w:iCs/>
          <w:lang w:eastAsia="en-US"/>
        </w:rPr>
        <w:t>odatke o poslovnim prostorima</w:t>
      </w:r>
      <w:r w:rsidR="00C93209" w:rsidRPr="009754E9">
        <w:rPr>
          <w:rFonts w:eastAsia="Calibri" w:cs="Arial"/>
          <w:bCs/>
          <w:iCs/>
          <w:lang w:eastAsia="en-US"/>
        </w:rPr>
        <w:t>, što nije u skladu s odredbama Zakona o Sred</w:t>
      </w:r>
      <w:r w:rsidR="00DC5298">
        <w:rPr>
          <w:rFonts w:eastAsia="Calibri" w:cs="Arial"/>
          <w:bCs/>
          <w:iCs/>
          <w:lang w:eastAsia="en-US"/>
        </w:rPr>
        <w:t>išnjem registru državne imovine</w:t>
      </w:r>
      <w:r w:rsidR="00813633">
        <w:rPr>
          <w:rFonts w:eastAsia="Calibri" w:cs="Arial"/>
          <w:bCs/>
          <w:iCs/>
          <w:lang w:eastAsia="en-US"/>
        </w:rPr>
        <w:t>.</w:t>
      </w:r>
    </w:p>
    <w:p w14:paraId="1D3155F3" w14:textId="1FA01905" w:rsidR="006B7D1D" w:rsidRPr="009754E9" w:rsidRDefault="00B004B7" w:rsidP="00E275AD">
      <w:pPr>
        <w:widowControl/>
        <w:tabs>
          <w:tab w:val="left" w:pos="567"/>
        </w:tabs>
        <w:autoSpaceDE/>
        <w:autoSpaceDN/>
        <w:adjustRightInd/>
        <w:ind w:left="567" w:hanging="567"/>
        <w:rPr>
          <w:rFonts w:eastAsia="Calibri"/>
          <w:szCs w:val="22"/>
          <w:lang w:eastAsia="en-US"/>
        </w:rPr>
      </w:pPr>
      <w:r w:rsidRPr="009754E9">
        <w:rPr>
          <w:rFonts w:eastAsia="Calibri"/>
          <w:szCs w:val="22"/>
          <w:lang w:eastAsia="en-US"/>
        </w:rPr>
        <w:t>–</w:t>
      </w:r>
      <w:r w:rsidRPr="009754E9">
        <w:rPr>
          <w:rFonts w:eastAsia="Calibri"/>
          <w:szCs w:val="22"/>
          <w:lang w:eastAsia="en-US"/>
        </w:rPr>
        <w:tab/>
      </w:r>
      <w:r w:rsidR="00813633">
        <w:rPr>
          <w:rFonts w:eastAsia="Calibri" w:cs="Arial"/>
          <w:bCs/>
          <w:iCs/>
          <w:lang w:eastAsia="en-US"/>
        </w:rPr>
        <w:t>U</w:t>
      </w:r>
      <w:r w:rsidR="00A36487" w:rsidRPr="009754E9">
        <w:rPr>
          <w:rFonts w:eastAsia="Calibri" w:cs="Arial"/>
          <w:bCs/>
          <w:iCs/>
          <w:lang w:eastAsia="en-US"/>
        </w:rPr>
        <w:t xml:space="preserve"> većini gradova nisu donesene</w:t>
      </w:r>
      <w:r w:rsidR="00A36487">
        <w:rPr>
          <w:rFonts w:eastAsia="Calibri" w:cs="Arial"/>
          <w:bCs/>
          <w:iCs/>
          <w:lang w:eastAsia="en-US"/>
        </w:rPr>
        <w:t xml:space="preserve"> s</w:t>
      </w:r>
      <w:r w:rsidR="00C93209" w:rsidRPr="009754E9">
        <w:rPr>
          <w:rFonts w:eastAsia="Calibri" w:cs="Arial"/>
          <w:bCs/>
          <w:iCs/>
          <w:lang w:eastAsia="en-US"/>
        </w:rPr>
        <w:t>trategije upravljanja i raspolaganja nekretninama kojima treba utvrditi dugoročne ciljeve i smjernice upravljanja i raspolaganja nekretninama</w:t>
      </w:r>
      <w:r w:rsidR="00A36487">
        <w:rPr>
          <w:rFonts w:eastAsia="Calibri" w:cs="Arial"/>
          <w:bCs/>
          <w:iCs/>
          <w:lang w:eastAsia="en-US"/>
        </w:rPr>
        <w:t>;</w:t>
      </w:r>
      <w:r w:rsidR="00C93209" w:rsidRPr="009754E9">
        <w:rPr>
          <w:rFonts w:eastAsia="Calibri" w:cs="Arial"/>
          <w:bCs/>
          <w:iCs/>
          <w:lang w:eastAsia="en-US"/>
        </w:rPr>
        <w:t xml:space="preserve"> također nisu doneseni godišnji planovi u kojima je potrebno utvrditi provedbene aktivnosti i mjere za ostvarenje ciljeva</w:t>
      </w:r>
      <w:r w:rsidR="00813633">
        <w:rPr>
          <w:rFonts w:eastAsia="Calibri" w:cs="Arial"/>
          <w:bCs/>
          <w:iCs/>
          <w:lang w:eastAsia="en-US"/>
        </w:rPr>
        <w:t>.</w:t>
      </w:r>
    </w:p>
    <w:p w14:paraId="08BB0CD8" w14:textId="77071F33" w:rsidR="006B7D1D" w:rsidRPr="009754E9" w:rsidRDefault="00B004B7" w:rsidP="00E275AD">
      <w:pPr>
        <w:widowControl/>
        <w:tabs>
          <w:tab w:val="left" w:pos="567"/>
        </w:tabs>
        <w:autoSpaceDE/>
        <w:autoSpaceDN/>
        <w:adjustRightInd/>
        <w:ind w:left="567" w:hanging="567"/>
        <w:rPr>
          <w:rFonts w:eastAsia="Calibri"/>
          <w:szCs w:val="22"/>
          <w:lang w:eastAsia="en-US"/>
        </w:rPr>
      </w:pPr>
      <w:r w:rsidRPr="009754E9">
        <w:rPr>
          <w:rFonts w:eastAsia="Calibri"/>
          <w:szCs w:val="22"/>
          <w:lang w:eastAsia="en-US"/>
        </w:rPr>
        <w:t>–</w:t>
      </w:r>
      <w:r w:rsidRPr="009754E9">
        <w:rPr>
          <w:rFonts w:eastAsia="Calibri"/>
          <w:szCs w:val="22"/>
          <w:lang w:eastAsia="en-US"/>
        </w:rPr>
        <w:tab/>
      </w:r>
      <w:r w:rsidR="00813633">
        <w:rPr>
          <w:rFonts w:eastAsia="Calibri" w:cs="Arial"/>
          <w:bCs/>
          <w:iCs/>
          <w:lang w:eastAsia="en-US"/>
        </w:rPr>
        <w:t>Na mrežnim stranicama g</w:t>
      </w:r>
      <w:r w:rsidR="00C93209" w:rsidRPr="009754E9">
        <w:rPr>
          <w:rFonts w:eastAsia="Calibri" w:cs="Arial"/>
          <w:bCs/>
          <w:iCs/>
          <w:lang w:eastAsia="en-US"/>
        </w:rPr>
        <w:t>radova nisu objavljivani ni ažurirani podaci o praznim poslovnim prostorima u cilju informiranja zainteresiranih fizičkih i pravnih osoba za uzim</w:t>
      </w:r>
      <w:r w:rsidR="00A36487">
        <w:rPr>
          <w:rFonts w:eastAsia="Calibri" w:cs="Arial"/>
          <w:bCs/>
          <w:iCs/>
          <w:lang w:eastAsia="en-US"/>
        </w:rPr>
        <w:t>anje poslovnih prostora u zakup</w:t>
      </w:r>
      <w:r w:rsidR="00813633">
        <w:rPr>
          <w:rFonts w:eastAsia="Calibri" w:cs="Arial"/>
          <w:bCs/>
          <w:iCs/>
          <w:lang w:eastAsia="en-US"/>
        </w:rPr>
        <w:t>.</w:t>
      </w:r>
    </w:p>
    <w:p w14:paraId="0AE86B7A" w14:textId="36627DE8" w:rsidR="00C93209" w:rsidRPr="009754E9" w:rsidRDefault="00B004B7" w:rsidP="00E275AD">
      <w:pPr>
        <w:widowControl/>
        <w:tabs>
          <w:tab w:val="left" w:pos="567"/>
        </w:tabs>
        <w:autoSpaceDE/>
        <w:autoSpaceDN/>
        <w:adjustRightInd/>
        <w:ind w:left="567" w:hanging="567"/>
        <w:rPr>
          <w:rFonts w:eastAsia="Calibri"/>
          <w:szCs w:val="22"/>
          <w:lang w:eastAsia="en-US"/>
        </w:rPr>
      </w:pPr>
      <w:r w:rsidRPr="009754E9">
        <w:rPr>
          <w:rFonts w:eastAsia="Calibri"/>
          <w:szCs w:val="22"/>
          <w:lang w:eastAsia="en-US"/>
        </w:rPr>
        <w:t>–</w:t>
      </w:r>
      <w:r w:rsidRPr="009754E9">
        <w:rPr>
          <w:rFonts w:eastAsia="Calibri"/>
          <w:szCs w:val="22"/>
          <w:lang w:eastAsia="en-US"/>
        </w:rPr>
        <w:tab/>
      </w:r>
      <w:r w:rsidR="00813633">
        <w:rPr>
          <w:rFonts w:eastAsia="Calibri" w:cs="Arial"/>
          <w:bCs/>
          <w:iCs/>
          <w:lang w:eastAsia="en-US"/>
        </w:rPr>
        <w:t>N</w:t>
      </w:r>
      <w:r w:rsidR="00C93209" w:rsidRPr="009754E9">
        <w:rPr>
          <w:rFonts w:eastAsia="Calibri" w:cs="Arial"/>
          <w:bCs/>
          <w:iCs/>
          <w:lang w:eastAsia="en-US"/>
        </w:rPr>
        <w:t>isu poduzimane mjere za potpunu i pravodobnu naplatu potraživanja za prihode od upravljanja i raspolaganja poslovnim prostorima kako bi se izbjegla njihova zastara.</w:t>
      </w:r>
    </w:p>
    <w:p w14:paraId="116FD2DB" w14:textId="77777777" w:rsidR="00C93209" w:rsidRPr="009754E9" w:rsidRDefault="00C93209" w:rsidP="00E275AD">
      <w:pPr>
        <w:widowControl/>
        <w:autoSpaceDE/>
        <w:autoSpaceDN/>
        <w:adjustRightInd/>
        <w:ind w:left="927"/>
        <w:jc w:val="left"/>
        <w:rPr>
          <w:rFonts w:eastAsia="Calibri" w:cs="Arial"/>
          <w:bCs/>
          <w:iCs/>
          <w:lang w:eastAsia="en-US"/>
        </w:rPr>
      </w:pPr>
    </w:p>
    <w:p w14:paraId="09F8E37E" w14:textId="77777777" w:rsidR="00C93209" w:rsidRPr="00B004B7" w:rsidRDefault="00C93209" w:rsidP="00E275AD">
      <w:pPr>
        <w:widowControl/>
        <w:autoSpaceDE/>
        <w:autoSpaceDN/>
        <w:adjustRightInd/>
        <w:rPr>
          <w:rFonts w:eastAsia="Calibri" w:cs="Arial"/>
          <w:b/>
          <w:bCs/>
          <w:iCs/>
          <w:lang w:eastAsia="en-US"/>
        </w:rPr>
      </w:pPr>
      <w:r w:rsidRPr="00C93209">
        <w:rPr>
          <w:rFonts w:eastAsia="Calibri" w:cs="Arial"/>
          <w:bCs/>
          <w:iCs/>
          <w:lang w:eastAsia="en-US"/>
        </w:rPr>
        <w:t xml:space="preserve">Ocijenjeno je da su aktivnosti provedene u vezi s upravljanjem i raspolaganjem poslovnim prostorima u </w:t>
      </w:r>
      <w:r w:rsidRPr="00B004B7">
        <w:rPr>
          <w:rFonts w:eastAsia="Calibri" w:cs="Arial"/>
          <w:b/>
          <w:bCs/>
          <w:iCs/>
          <w:lang w:eastAsia="en-US"/>
        </w:rPr>
        <w:t>19 gradova</w:t>
      </w:r>
      <w:r w:rsidRPr="00C93209">
        <w:rPr>
          <w:rFonts w:eastAsia="Calibri" w:cs="Arial"/>
          <w:bCs/>
          <w:iCs/>
          <w:lang w:eastAsia="en-US"/>
        </w:rPr>
        <w:t xml:space="preserve"> </w:t>
      </w:r>
      <w:r w:rsidRPr="00C93209">
        <w:rPr>
          <w:rFonts w:eastAsia="Calibri" w:cs="Arial"/>
          <w:b/>
          <w:bCs/>
          <w:iCs/>
          <w:lang w:eastAsia="en-US"/>
        </w:rPr>
        <w:t>učinkovite, pri čemu su potrebna određena poboljšanja</w:t>
      </w:r>
      <w:r w:rsidRPr="00C93209">
        <w:rPr>
          <w:rFonts w:eastAsia="Calibri" w:cs="Arial"/>
          <w:bCs/>
          <w:iCs/>
          <w:lang w:eastAsia="en-US"/>
        </w:rPr>
        <w:t xml:space="preserve">, </w:t>
      </w:r>
      <w:r w:rsidRPr="00B004B7">
        <w:rPr>
          <w:rFonts w:eastAsia="Calibri" w:cs="Arial"/>
          <w:b/>
          <w:bCs/>
          <w:iCs/>
          <w:lang w:eastAsia="en-US"/>
        </w:rPr>
        <w:t>a u četiri grada djelomično učinkovite.</w:t>
      </w:r>
    </w:p>
    <w:p w14:paraId="2C3C1AA3" w14:textId="77777777" w:rsidR="00C93209" w:rsidRPr="00C93209" w:rsidRDefault="00C93209" w:rsidP="00E275AD">
      <w:pPr>
        <w:widowControl/>
        <w:autoSpaceDE/>
        <w:autoSpaceDN/>
        <w:adjustRightInd/>
        <w:ind w:left="927"/>
        <w:jc w:val="left"/>
        <w:rPr>
          <w:rFonts w:eastAsia="Calibri" w:cs="Arial"/>
          <w:bCs/>
          <w:iCs/>
          <w:lang w:eastAsia="en-US"/>
        </w:rPr>
      </w:pPr>
    </w:p>
    <w:p w14:paraId="18D6AC18" w14:textId="77777777" w:rsidR="00C93209" w:rsidRDefault="00C93209" w:rsidP="00D93139">
      <w:pPr>
        <w:widowControl/>
        <w:autoSpaceDE/>
        <w:autoSpaceDN/>
        <w:adjustRightInd/>
        <w:rPr>
          <w:rFonts w:eastAsia="Calibri" w:cs="Arial"/>
          <w:bCs/>
          <w:iCs/>
          <w:lang w:eastAsia="en-US"/>
        </w:rPr>
      </w:pPr>
      <w:r w:rsidRPr="00C93209">
        <w:rPr>
          <w:rFonts w:eastAsia="Calibri" w:cs="Arial"/>
          <w:bCs/>
          <w:iCs/>
          <w:lang w:eastAsia="en-US"/>
        </w:rPr>
        <w:t xml:space="preserve">Za sve utvrđene nepravilnosti i propuste Ured je dao ukupno </w:t>
      </w:r>
      <w:r w:rsidRPr="00C93209">
        <w:rPr>
          <w:rFonts w:eastAsia="Calibri" w:cs="Arial"/>
          <w:b/>
          <w:bCs/>
          <w:iCs/>
          <w:lang w:eastAsia="en-US"/>
        </w:rPr>
        <w:t>222 naloga i preporuka</w:t>
      </w:r>
      <w:r w:rsidRPr="00C93209">
        <w:rPr>
          <w:rFonts w:eastAsia="Calibri" w:cs="Arial"/>
          <w:bCs/>
          <w:iCs/>
          <w:lang w:eastAsia="en-US"/>
        </w:rPr>
        <w:t>.</w:t>
      </w:r>
    </w:p>
    <w:p w14:paraId="7E94D621" w14:textId="77777777" w:rsidR="00B004B7" w:rsidRPr="00C93209" w:rsidRDefault="00B004B7" w:rsidP="00D93139">
      <w:pPr>
        <w:widowControl/>
        <w:autoSpaceDE/>
        <w:autoSpaceDN/>
        <w:adjustRightInd/>
        <w:rPr>
          <w:rFonts w:eastAsia="Calibri" w:cs="Arial"/>
          <w:bCs/>
          <w:iCs/>
          <w:lang w:eastAsia="en-US"/>
        </w:rPr>
      </w:pPr>
    </w:p>
    <w:p w14:paraId="2EE79FC8" w14:textId="58C1E164" w:rsidR="00C93209" w:rsidRDefault="00C93209" w:rsidP="00E275AD">
      <w:pPr>
        <w:ind w:left="1087" w:hanging="283"/>
        <w:rPr>
          <w:rFonts w:eastAsia="Calibri" w:cs="Arial"/>
          <w:bCs/>
          <w:iCs/>
          <w:lang w:eastAsia="en-US"/>
        </w:rPr>
      </w:pPr>
    </w:p>
    <w:p w14:paraId="20F0AE71" w14:textId="4C60FB38" w:rsidR="00D93139" w:rsidRDefault="00D93139" w:rsidP="00E275AD">
      <w:pPr>
        <w:ind w:left="1087" w:hanging="283"/>
        <w:rPr>
          <w:rFonts w:eastAsia="Calibri" w:cs="Arial"/>
          <w:bCs/>
          <w:iCs/>
          <w:lang w:eastAsia="en-US"/>
        </w:rPr>
      </w:pPr>
    </w:p>
    <w:p w14:paraId="3F9268D6" w14:textId="6ECCBD3F" w:rsidR="00D93139" w:rsidRDefault="00D93139" w:rsidP="00E275AD">
      <w:pPr>
        <w:ind w:left="1087" w:hanging="283"/>
        <w:rPr>
          <w:rFonts w:eastAsia="Calibri" w:cs="Arial"/>
          <w:bCs/>
          <w:iCs/>
          <w:lang w:eastAsia="en-US"/>
        </w:rPr>
      </w:pPr>
    </w:p>
    <w:p w14:paraId="3F84FC1E" w14:textId="2F8FF47A" w:rsidR="00D93139" w:rsidRDefault="00D93139" w:rsidP="00E275AD">
      <w:pPr>
        <w:ind w:left="1087" w:hanging="283"/>
        <w:rPr>
          <w:rFonts w:eastAsia="Calibri" w:cs="Arial"/>
          <w:bCs/>
          <w:iCs/>
          <w:lang w:eastAsia="en-US"/>
        </w:rPr>
      </w:pPr>
    </w:p>
    <w:p w14:paraId="40A2BD2B" w14:textId="77777777" w:rsidR="00A36487" w:rsidRPr="00C93209" w:rsidRDefault="00A36487" w:rsidP="00E275AD">
      <w:pPr>
        <w:ind w:left="1087" w:hanging="283"/>
        <w:rPr>
          <w:rFonts w:eastAsia="Calibri" w:cs="Arial"/>
          <w:bCs/>
          <w:iCs/>
          <w:lang w:eastAsia="en-US"/>
        </w:rPr>
      </w:pPr>
    </w:p>
    <w:p w14:paraId="06E995CC" w14:textId="77777777" w:rsidR="00B004B7" w:rsidRDefault="00B004B7" w:rsidP="00E275AD">
      <w:pPr>
        <w:rPr>
          <w:b/>
        </w:rPr>
      </w:pPr>
    </w:p>
    <w:p w14:paraId="4A247A4A" w14:textId="77777777" w:rsidR="00D962FF" w:rsidRDefault="00D962FF" w:rsidP="00E275AD">
      <w:pPr>
        <w:shd w:val="clear" w:color="auto" w:fill="D9D9D9" w:themeFill="background1" w:themeFillShade="D9"/>
        <w:rPr>
          <w:b/>
        </w:rPr>
      </w:pPr>
      <w:r>
        <w:rPr>
          <w:b/>
        </w:rPr>
        <w:lastRenderedPageBreak/>
        <w:t>IZVJEŠĆE O OBAVLJENOJ REVIZIJI UČINKOVITOSTI DODJELA I KORIŠTENJE POTPORA IZ EUROPSKOG POLJOPRIVREDNOG FONDA ZA RURALNI RAZVOJ U REPUBLICI HRVATSKOJ</w:t>
      </w:r>
      <w:r w:rsidRPr="00D962FF">
        <w:rPr>
          <w:b/>
        </w:rPr>
        <w:t xml:space="preserve"> </w:t>
      </w:r>
    </w:p>
    <w:p w14:paraId="74745826" w14:textId="77777777" w:rsidR="00C93209" w:rsidRPr="00EA1863" w:rsidRDefault="00C93209" w:rsidP="00E275AD">
      <w:pPr>
        <w:tabs>
          <w:tab w:val="left" w:pos="284"/>
          <w:tab w:val="left" w:pos="567"/>
          <w:tab w:val="left" w:pos="851"/>
        </w:tabs>
        <w:rPr>
          <w:rFonts w:cs="Arial"/>
        </w:rPr>
      </w:pPr>
    </w:p>
    <w:p w14:paraId="2E669FE5" w14:textId="77777777" w:rsidR="00EA1863" w:rsidRPr="00EA1863" w:rsidRDefault="00EA1863" w:rsidP="00E275AD">
      <w:pPr>
        <w:widowControl/>
        <w:shd w:val="clear" w:color="auto" w:fill="FFFFFF"/>
        <w:autoSpaceDE/>
        <w:autoSpaceDN/>
        <w:adjustRightInd/>
        <w:rPr>
          <w:rFonts w:eastAsia="Calibri" w:cs="Arial"/>
          <w:bCs/>
          <w:lang w:eastAsia="en-US"/>
        </w:rPr>
      </w:pPr>
      <w:r w:rsidRPr="00EA1863">
        <w:rPr>
          <w:rFonts w:eastAsia="Calibri" w:cs="Arial"/>
          <w:b/>
          <w:bCs/>
          <w:lang w:eastAsia="en-US"/>
        </w:rPr>
        <w:t>Predmet ove revizije</w:t>
      </w:r>
      <w:r w:rsidRPr="00EA1863">
        <w:rPr>
          <w:rFonts w:eastAsia="Calibri" w:cs="Arial"/>
          <w:bCs/>
          <w:lang w:eastAsia="en-US"/>
        </w:rPr>
        <w:t xml:space="preserve"> bile su aktivnosti u vezi s dodjelom i korištenjem potpora iz Europskog poljoprivrednog fonda za ruralni razvoj (dalje u tekstu: EPFRR)</w:t>
      </w:r>
      <w:r w:rsidRPr="00EA1863">
        <w:rPr>
          <w:rFonts w:eastAsia="Calibri" w:cs="Arial"/>
          <w:bCs/>
          <w:i/>
          <w:lang w:eastAsia="en-US"/>
        </w:rPr>
        <w:t xml:space="preserve"> </w:t>
      </w:r>
      <w:r w:rsidRPr="00EA1863">
        <w:rPr>
          <w:rFonts w:eastAsia="Calibri" w:cs="Arial"/>
          <w:bCs/>
          <w:lang w:eastAsia="en-US"/>
        </w:rPr>
        <w:t>u Republici Hrvatskoj te ostvareni rezultati provedbe mjera i intervencija do konca 2025. Revizijom je obuhvaćena provedba mjera i intervencija financiranih iz EPFRR-a kroz dva programska razdoblja i dva programska/planska dokumenta:</w:t>
      </w:r>
    </w:p>
    <w:p w14:paraId="3210D1DC" w14:textId="77777777" w:rsidR="00EA1863" w:rsidRPr="00EA1863" w:rsidRDefault="00EA1863" w:rsidP="00E275AD">
      <w:pPr>
        <w:widowControl/>
        <w:shd w:val="clear" w:color="auto" w:fill="FFFFFF"/>
        <w:tabs>
          <w:tab w:val="left" w:pos="567"/>
        </w:tabs>
        <w:autoSpaceDE/>
        <w:autoSpaceDN/>
        <w:adjustRightInd/>
        <w:ind w:left="564" w:hanging="564"/>
        <w:rPr>
          <w:rFonts w:eastAsia="Calibri" w:cs="Arial"/>
          <w:bCs/>
          <w:lang w:eastAsia="en-US"/>
        </w:rPr>
      </w:pPr>
      <w:r>
        <w:rPr>
          <w:rFonts w:eastAsia="Calibri" w:cs="Arial"/>
          <w:bCs/>
          <w:lang w:eastAsia="en-US"/>
        </w:rPr>
        <w:t>–</w:t>
      </w:r>
      <w:r>
        <w:rPr>
          <w:rFonts w:eastAsia="Calibri" w:cs="Arial"/>
          <w:bCs/>
          <w:lang w:eastAsia="en-US"/>
        </w:rPr>
        <w:tab/>
      </w:r>
      <w:r w:rsidRPr="00EA1863">
        <w:rPr>
          <w:rFonts w:eastAsia="Calibri" w:cs="Arial"/>
          <w:bCs/>
          <w:lang w:eastAsia="en-US"/>
        </w:rPr>
        <w:t xml:space="preserve">Program ruralnog razvoja Republike Hrvatske 2014. – 2020. (dalje u tekstu: Program ruralnog razvoja RH 2014. – 2020.) (uključujući prijelazno razdoblje tijekom 2021. i 2022.) te </w:t>
      </w:r>
    </w:p>
    <w:p w14:paraId="4A4FAB34" w14:textId="77777777" w:rsidR="00EA1863" w:rsidRPr="00EA1863" w:rsidRDefault="00EA1863" w:rsidP="00E275AD">
      <w:pPr>
        <w:widowControl/>
        <w:shd w:val="clear" w:color="auto" w:fill="FFFFFF"/>
        <w:tabs>
          <w:tab w:val="left" w:pos="567"/>
        </w:tabs>
        <w:autoSpaceDE/>
        <w:autoSpaceDN/>
        <w:adjustRightInd/>
        <w:ind w:left="564" w:hanging="564"/>
        <w:rPr>
          <w:rFonts w:eastAsia="Calibri" w:cs="Arial"/>
          <w:bCs/>
          <w:lang w:eastAsia="en-US"/>
        </w:rPr>
      </w:pPr>
      <w:r>
        <w:rPr>
          <w:rFonts w:eastAsia="Calibri" w:cs="Arial"/>
          <w:bCs/>
          <w:lang w:eastAsia="en-US"/>
        </w:rPr>
        <w:t>–</w:t>
      </w:r>
      <w:r>
        <w:rPr>
          <w:rFonts w:eastAsia="Calibri" w:cs="Arial"/>
          <w:bCs/>
          <w:lang w:eastAsia="en-US"/>
        </w:rPr>
        <w:tab/>
      </w:r>
      <w:r w:rsidRPr="00EA1863">
        <w:rPr>
          <w:rFonts w:eastAsia="Calibri" w:cs="Arial"/>
          <w:bCs/>
          <w:lang w:eastAsia="en-US"/>
        </w:rPr>
        <w:t>Strateški plan Zajedničke poljoprivredne politike Republike Hrvatske 2023. – 2027. (dalje u tekstu: Strateški plan ZPP-a 2023. – 2027.)</w:t>
      </w:r>
    </w:p>
    <w:p w14:paraId="6D67D243" w14:textId="77777777" w:rsidR="00EA1863" w:rsidRPr="00EA1863" w:rsidRDefault="00EA1863" w:rsidP="00E275AD">
      <w:pPr>
        <w:widowControl/>
        <w:shd w:val="clear" w:color="auto" w:fill="FFFFFF"/>
        <w:autoSpaceDE/>
        <w:autoSpaceDN/>
        <w:adjustRightInd/>
        <w:rPr>
          <w:rFonts w:eastAsia="Calibri" w:cs="Arial"/>
          <w:bCs/>
          <w:lang w:eastAsia="en-US"/>
        </w:rPr>
      </w:pPr>
      <w:r w:rsidRPr="00EA1863">
        <w:rPr>
          <w:rFonts w:eastAsia="Calibri" w:cs="Arial"/>
          <w:bCs/>
          <w:lang w:eastAsia="en-US"/>
        </w:rPr>
        <w:t xml:space="preserve">uključujući ostvarenje rezultata u odnosu na planirane ciljeve ruralnog razvoja, prilagodbu provedbe novom programskom razdoblju te provedbu mjera/intervencija odabranih za revizijski uzorak. </w:t>
      </w:r>
    </w:p>
    <w:p w14:paraId="42FA5584" w14:textId="77777777" w:rsidR="00EA1863" w:rsidRPr="00EA1863" w:rsidRDefault="00EA1863" w:rsidP="00E275AD">
      <w:pPr>
        <w:widowControl/>
        <w:shd w:val="clear" w:color="auto" w:fill="FFFFFF"/>
        <w:autoSpaceDE/>
        <w:autoSpaceDN/>
        <w:adjustRightInd/>
        <w:rPr>
          <w:rFonts w:eastAsia="Calibri" w:cs="Arial"/>
          <w:bCs/>
          <w:lang w:eastAsia="en-US"/>
        </w:rPr>
      </w:pPr>
    </w:p>
    <w:p w14:paraId="18AF887D" w14:textId="77777777" w:rsidR="00EA1863" w:rsidRPr="00EA1863" w:rsidRDefault="00EA1863" w:rsidP="00E275AD">
      <w:pPr>
        <w:widowControl/>
        <w:shd w:val="clear" w:color="auto" w:fill="FFFFFF"/>
        <w:autoSpaceDE/>
        <w:autoSpaceDN/>
        <w:adjustRightInd/>
        <w:rPr>
          <w:rFonts w:eastAsia="Calibri" w:cs="Arial"/>
          <w:bCs/>
          <w:lang w:eastAsia="en-US"/>
        </w:rPr>
      </w:pPr>
      <w:r w:rsidRPr="00EA1863">
        <w:rPr>
          <w:rFonts w:eastAsia="Calibri" w:cs="Arial"/>
          <w:b/>
          <w:bCs/>
          <w:lang w:eastAsia="en-US"/>
        </w:rPr>
        <w:t>Učinkovitost dodjele i korištenja potpora financiranih iz EPFRR-a u RH ocijenjena je prema utvrđenim</w:t>
      </w:r>
      <w:r w:rsidRPr="00EA1863">
        <w:rPr>
          <w:rFonts w:eastAsia="Calibri" w:cs="Arial"/>
          <w:bCs/>
          <w:lang w:eastAsia="en-US"/>
        </w:rPr>
        <w:t xml:space="preserve"> </w:t>
      </w:r>
      <w:r w:rsidRPr="00EA1863">
        <w:rPr>
          <w:rFonts w:eastAsia="Calibri" w:cs="Arial"/>
          <w:b/>
          <w:bCs/>
          <w:lang w:eastAsia="en-US"/>
        </w:rPr>
        <w:t>područjima revizije</w:t>
      </w:r>
      <w:r w:rsidRPr="00EA1863">
        <w:rPr>
          <w:rFonts w:eastAsia="Calibri" w:cs="Arial"/>
          <w:bCs/>
          <w:lang w:eastAsia="en-US"/>
        </w:rPr>
        <w:t>: strateški i pravni okvir, institucionalni okvir, provedba aktivnosti u vezi s dodjelom i korištenjem potpora financiranih iz EPFRR-a u RH, financijski podaci o korištenju EPFRR-a te statistički podaci o poljoprivredi u RH. Za potrebe revizije, u svakom od navedenih područja revizije, utvrđeni su kriteriji za ocjenu učinkovitosti provedbe aktivnosti u vezi s dodjelom i korištenjem potpora financiranih iz EPFRR-a u RH.</w:t>
      </w:r>
    </w:p>
    <w:p w14:paraId="2113ED97" w14:textId="77777777" w:rsidR="00EA1863" w:rsidRPr="00EA1863" w:rsidRDefault="00EA1863" w:rsidP="00E275AD">
      <w:pPr>
        <w:widowControl/>
        <w:shd w:val="clear" w:color="auto" w:fill="FFFFFF"/>
        <w:autoSpaceDE/>
        <w:autoSpaceDN/>
        <w:adjustRightInd/>
        <w:ind w:firstLine="567"/>
        <w:rPr>
          <w:rFonts w:eastAsia="Calibri" w:cs="Arial"/>
          <w:lang w:eastAsia="en-US"/>
        </w:rPr>
      </w:pPr>
    </w:p>
    <w:p w14:paraId="148E8CF4" w14:textId="5038769B" w:rsidR="00EA1863" w:rsidRPr="00EA1863" w:rsidRDefault="00EA1863" w:rsidP="00E275AD">
      <w:pPr>
        <w:widowControl/>
        <w:autoSpaceDE/>
        <w:autoSpaceDN/>
        <w:adjustRightInd/>
        <w:rPr>
          <w:rFonts w:eastAsia="Calibri" w:cs="Arial"/>
          <w:lang w:eastAsia="en-US"/>
        </w:rPr>
      </w:pPr>
      <w:r w:rsidRPr="00EA1863">
        <w:rPr>
          <w:rFonts w:eastAsia="Calibri" w:cs="Arial"/>
          <w:b/>
          <w:lang w:eastAsia="en-US"/>
        </w:rPr>
        <w:t xml:space="preserve">Uzorkom su obuhvaćene četiri mjere iz Programa ruralnog razvoja RH 2014. – 2020. (2022.) </w:t>
      </w:r>
      <w:r w:rsidRPr="00EA1863">
        <w:rPr>
          <w:rFonts w:eastAsia="Calibri" w:cs="Arial"/>
          <w:lang w:eastAsia="en-US"/>
        </w:rPr>
        <w:t xml:space="preserve">ukupne </w:t>
      </w:r>
      <w:r w:rsidR="00076E73">
        <w:rPr>
          <w:rFonts w:eastAsia="Calibri" w:cs="Arial"/>
          <w:lang w:eastAsia="en-US"/>
        </w:rPr>
        <w:t>vrijednosti od 1.241.423.557,93</w:t>
      </w:r>
      <w:r w:rsidRPr="00EA1863">
        <w:rPr>
          <w:rFonts w:eastAsia="Calibri" w:cs="Arial"/>
          <w:lang w:eastAsia="en-US"/>
        </w:rPr>
        <w:t xml:space="preserve"> eura, odnosno 37,6 % ukupno raspoloživih sredstava za sve mjere predviđene Programom. Mjera 4 </w:t>
      </w:r>
      <w:r w:rsidRPr="00EA1863">
        <w:rPr>
          <w:rFonts w:eastAsia="Calibri" w:cs="Arial"/>
          <w:i/>
          <w:lang w:eastAsia="en-US"/>
        </w:rPr>
        <w:t>Ulaganja u fizičku imovinu</w:t>
      </w:r>
      <w:r w:rsidRPr="00EA1863">
        <w:rPr>
          <w:rFonts w:eastAsia="Calibri" w:cs="Arial"/>
          <w:lang w:eastAsia="en-US"/>
        </w:rPr>
        <w:t xml:space="preserve"> odabrana je za uzorak jer je za provedbu navedene mjere raspoloživ/alociran, ugovoren i isplaćen najznačajniji iznos sredstava iz EPFRR-a. Nadalje, Mjera 8 </w:t>
      </w:r>
      <w:r w:rsidRPr="00EA1863">
        <w:rPr>
          <w:rFonts w:eastAsia="Calibri" w:cs="Arial"/>
          <w:i/>
          <w:lang w:eastAsia="en-US"/>
        </w:rPr>
        <w:t>Ulaganja u razvoj šumskih područja i poboljšanje isplativosti šuma</w:t>
      </w:r>
      <w:r w:rsidRPr="00EA1863">
        <w:rPr>
          <w:rFonts w:eastAsia="Calibri" w:cs="Arial"/>
          <w:lang w:eastAsia="en-US"/>
        </w:rPr>
        <w:t xml:space="preserve"> odabrana je za uzorak jer se, u fazi planiranja revizije, nalazila među mjerama s najnižim iznosom iskorištenih/isplaćenih sredstava, u odnosu na raspoloživa sredstva/alokaciju. Također, Mjera 19 </w:t>
      </w:r>
      <w:r w:rsidRPr="00EA1863">
        <w:rPr>
          <w:rFonts w:eastAsia="Calibri" w:cs="Arial"/>
          <w:i/>
          <w:lang w:eastAsia="en-US"/>
        </w:rPr>
        <w:t>Potpora za lokalni razvoj u sklopu inicijative LEADER</w:t>
      </w:r>
      <w:r w:rsidRPr="00EA1863">
        <w:rPr>
          <w:rFonts w:eastAsia="Calibri" w:cs="Arial"/>
          <w:lang w:eastAsia="en-US"/>
        </w:rPr>
        <w:t xml:space="preserve"> odabrana je za uzorak jer se provedba navedene mjere nastavlja i u sklopu intervencije definirane Strateškim planom ZPP-a 2023. – 2027. (Intervencija 77.06. Potpora LEADER pristupu). Tijekom provedbe revizijskih postupaka obavljen je i uvid u korištenje sredstava iz Mjere 20 Tehnička pomoć kroz koju se također financiraju određene aktivnosti iz EPFRR-a (npr. jačanje administrativnih kapaciteta, unaprjeđenje IT sustava itd.). </w:t>
      </w:r>
    </w:p>
    <w:p w14:paraId="3BC230FA" w14:textId="77777777" w:rsidR="00EA1863" w:rsidRPr="00EA1863" w:rsidRDefault="00EA1863" w:rsidP="00E275AD">
      <w:pPr>
        <w:widowControl/>
        <w:autoSpaceDE/>
        <w:autoSpaceDN/>
        <w:adjustRightInd/>
        <w:ind w:firstLine="567"/>
        <w:rPr>
          <w:rFonts w:eastAsia="Calibri" w:cs="Arial"/>
          <w:lang w:eastAsia="en-US"/>
        </w:rPr>
      </w:pPr>
    </w:p>
    <w:p w14:paraId="23DDB379" w14:textId="77777777" w:rsidR="00EA1863" w:rsidRPr="00EA1863" w:rsidRDefault="00EA1863" w:rsidP="00E275AD">
      <w:pPr>
        <w:widowControl/>
        <w:autoSpaceDE/>
        <w:autoSpaceDN/>
        <w:adjustRightInd/>
        <w:rPr>
          <w:rFonts w:eastAsia="Calibri" w:cs="Arial"/>
          <w:lang w:eastAsia="en-US"/>
        </w:rPr>
      </w:pPr>
      <w:r w:rsidRPr="00EA1863">
        <w:rPr>
          <w:rFonts w:eastAsia="Calibri" w:cs="Arial"/>
          <w:b/>
          <w:lang w:eastAsia="en-US"/>
        </w:rPr>
        <w:t xml:space="preserve">Revizijskim uzorkom su obuhvaćene i intervencije predviđene Strateškim planom                  ZPP-a 2023. – 2027. </w:t>
      </w:r>
      <w:r w:rsidRPr="00EA1863">
        <w:rPr>
          <w:rFonts w:eastAsia="Calibri" w:cs="Arial"/>
          <w:lang w:eastAsia="en-US"/>
        </w:rPr>
        <w:t xml:space="preserve">unutar kojih su, u fazi planiranja revizije, bili objavljeni natječaji pojedinačne vrijednosti veće od 50.000.000,00 eura (intervencije 73.10. </w:t>
      </w:r>
      <w:r w:rsidRPr="00EA1863">
        <w:rPr>
          <w:rFonts w:eastAsia="Calibri" w:cs="Arial"/>
          <w:i/>
          <w:lang w:eastAsia="en-US"/>
        </w:rPr>
        <w:t>Potpora za ulaganja u primarnu poljoprivrednu proizvodnju</w:t>
      </w:r>
      <w:r w:rsidRPr="00EA1863">
        <w:rPr>
          <w:rFonts w:eastAsia="Calibri" w:cs="Arial"/>
          <w:lang w:eastAsia="en-US"/>
        </w:rPr>
        <w:t xml:space="preserve">, 73.11. </w:t>
      </w:r>
      <w:r w:rsidRPr="00EA1863">
        <w:rPr>
          <w:rFonts w:eastAsia="Calibri" w:cs="Arial"/>
          <w:i/>
          <w:lang w:eastAsia="en-US"/>
        </w:rPr>
        <w:t>Potpora za ulaganja u preradu poljoprivrednih proizvoda</w:t>
      </w:r>
      <w:r w:rsidRPr="00EA1863">
        <w:rPr>
          <w:rFonts w:eastAsia="Calibri" w:cs="Arial"/>
          <w:lang w:eastAsia="en-US"/>
        </w:rPr>
        <w:t xml:space="preserve">, 74.01. </w:t>
      </w:r>
      <w:r w:rsidRPr="00EA1863">
        <w:rPr>
          <w:rFonts w:eastAsia="Calibri" w:cs="Arial"/>
          <w:i/>
          <w:lang w:eastAsia="en-US"/>
        </w:rPr>
        <w:t>Potpora za sustave javnog navodnjavanja</w:t>
      </w:r>
      <w:r w:rsidRPr="00EA1863">
        <w:rPr>
          <w:rFonts w:eastAsia="Calibri" w:cs="Arial"/>
          <w:lang w:eastAsia="en-US"/>
        </w:rPr>
        <w:t xml:space="preserve">, 75.01. </w:t>
      </w:r>
      <w:r w:rsidRPr="00EA1863">
        <w:rPr>
          <w:rFonts w:eastAsia="Calibri" w:cs="Arial"/>
          <w:i/>
          <w:lang w:eastAsia="en-US"/>
        </w:rPr>
        <w:t>Uspostava mladih poljoprivrednika</w:t>
      </w:r>
      <w:r w:rsidRPr="00EA1863">
        <w:rPr>
          <w:rFonts w:eastAsia="Calibri" w:cs="Arial"/>
          <w:lang w:eastAsia="en-US"/>
        </w:rPr>
        <w:t xml:space="preserve"> te 77.06. </w:t>
      </w:r>
      <w:r w:rsidRPr="00EA1863">
        <w:rPr>
          <w:rFonts w:eastAsia="Calibri" w:cs="Arial"/>
          <w:i/>
          <w:lang w:eastAsia="en-US"/>
        </w:rPr>
        <w:t>Potpora LEADER (CLLD) pristupu</w:t>
      </w:r>
      <w:r w:rsidRPr="00EA1863">
        <w:rPr>
          <w:rFonts w:eastAsia="Calibri" w:cs="Arial"/>
          <w:lang w:eastAsia="en-US"/>
        </w:rPr>
        <w:t xml:space="preserve">). Također, intervencije 73.10., 73.11. i 74.01. nastavak su provedbe različitih tipova operacija iz Mjere 4 Programa ruralnog razvoja 2014. – 2020. (2022.), dok je intervencija 77.06. nastavak Mjere 19 Programa ruralnog razvoja 2014. – 2020. (2022.). </w:t>
      </w:r>
    </w:p>
    <w:p w14:paraId="0B3AFBD5" w14:textId="6BC8E9D5" w:rsidR="00EA1863" w:rsidRDefault="00EA1863" w:rsidP="00E275AD">
      <w:pPr>
        <w:widowControl/>
        <w:autoSpaceDE/>
        <w:autoSpaceDN/>
        <w:adjustRightInd/>
        <w:ind w:firstLine="567"/>
        <w:rPr>
          <w:rFonts w:cs="Arial"/>
        </w:rPr>
      </w:pPr>
    </w:p>
    <w:p w14:paraId="15BF6F8A" w14:textId="6C26CEFB" w:rsidR="00D93139" w:rsidRDefault="00D93139" w:rsidP="00E275AD">
      <w:pPr>
        <w:widowControl/>
        <w:autoSpaceDE/>
        <w:autoSpaceDN/>
        <w:adjustRightInd/>
        <w:ind w:firstLine="567"/>
        <w:rPr>
          <w:rFonts w:cs="Arial"/>
        </w:rPr>
      </w:pPr>
    </w:p>
    <w:p w14:paraId="27DF68D3" w14:textId="77777777" w:rsidR="00D93139" w:rsidRPr="00EA1863" w:rsidRDefault="00D93139" w:rsidP="00E275AD">
      <w:pPr>
        <w:widowControl/>
        <w:autoSpaceDE/>
        <w:autoSpaceDN/>
        <w:adjustRightInd/>
        <w:ind w:firstLine="567"/>
        <w:rPr>
          <w:rFonts w:cs="Arial"/>
        </w:rPr>
      </w:pPr>
    </w:p>
    <w:p w14:paraId="70DBC9CE" w14:textId="77777777" w:rsidR="00EA1863" w:rsidRPr="00EA1863" w:rsidRDefault="00EA1863" w:rsidP="00E275AD">
      <w:pPr>
        <w:widowControl/>
        <w:shd w:val="clear" w:color="auto" w:fill="FFFFFF"/>
        <w:autoSpaceDE/>
        <w:autoSpaceDN/>
        <w:adjustRightInd/>
        <w:rPr>
          <w:rFonts w:eastAsia="Calibri" w:cs="Arial"/>
          <w:bCs/>
          <w:lang w:eastAsia="en-US"/>
        </w:rPr>
      </w:pPr>
      <w:r w:rsidRPr="00EA1863">
        <w:rPr>
          <w:rFonts w:eastAsia="Calibri" w:cs="Arial"/>
          <w:b/>
          <w:bCs/>
          <w:lang w:eastAsia="en-US"/>
        </w:rPr>
        <w:lastRenderedPageBreak/>
        <w:t>Osnovni cilj revizije</w:t>
      </w:r>
      <w:r w:rsidRPr="00EA1863">
        <w:rPr>
          <w:rFonts w:eastAsia="Calibri" w:cs="Arial"/>
          <w:bCs/>
          <w:lang w:eastAsia="en-US"/>
        </w:rPr>
        <w:t xml:space="preserve"> bio je ocijeniti učinkovitost dodjele i korištenja potpora iz EPFRR-a u RH na temelju uvida u primjenu strateškog, pravnog i institucionalnog okvira, analize podataka o statusu ostvarenja ciljeva i pokazatelja uspješnosti iz programskih/planskih dokumenata te na temelju analize dokumentacije o provedbi mjera/intervencija izabranih za revizijski uzorak, provjere relevantnih financijskih podataka o korištenju sredstava iz EPFRR-a te načina izvještavanja. </w:t>
      </w:r>
    </w:p>
    <w:p w14:paraId="53EE86BA" w14:textId="77777777" w:rsidR="00EA1863" w:rsidRPr="00EA1863" w:rsidRDefault="00EA1863" w:rsidP="00E275AD">
      <w:pPr>
        <w:widowControl/>
        <w:shd w:val="clear" w:color="auto" w:fill="FFFFFF"/>
        <w:autoSpaceDE/>
        <w:autoSpaceDN/>
        <w:adjustRightInd/>
        <w:ind w:firstLine="567"/>
        <w:rPr>
          <w:rFonts w:eastAsia="Calibri" w:cs="Arial"/>
          <w:bCs/>
          <w:lang w:eastAsia="en-US"/>
        </w:rPr>
      </w:pPr>
    </w:p>
    <w:p w14:paraId="00B36DEF" w14:textId="77777777" w:rsidR="00EA1863" w:rsidRPr="00EA1863" w:rsidRDefault="00EA1863" w:rsidP="00E275AD">
      <w:pPr>
        <w:widowControl/>
        <w:autoSpaceDE/>
        <w:autoSpaceDN/>
        <w:adjustRightInd/>
        <w:rPr>
          <w:rFonts w:eastAsia="Calibri" w:cs="Arial"/>
          <w:bCs/>
          <w:lang w:eastAsia="en-US"/>
        </w:rPr>
      </w:pPr>
      <w:r w:rsidRPr="00EA1863">
        <w:rPr>
          <w:rFonts w:eastAsia="Calibri" w:cs="Arial"/>
          <w:b/>
          <w:bCs/>
          <w:lang w:eastAsia="en-US"/>
        </w:rPr>
        <w:t>Subjekti revizije</w:t>
      </w:r>
      <w:r w:rsidRPr="00EA1863">
        <w:rPr>
          <w:rFonts w:eastAsia="Calibri" w:cs="Arial"/>
          <w:bCs/>
          <w:lang w:eastAsia="en-US"/>
        </w:rPr>
        <w:t xml:space="preserve"> bila su tijela nadležna za provedbu mjera i intervencija definiranih programskim/planskim dokumentima, a koje se financiraju iz EPFRR-a: </w:t>
      </w:r>
    </w:p>
    <w:p w14:paraId="7E8D0D90" w14:textId="77777777" w:rsidR="00EA1863" w:rsidRPr="00EA1863" w:rsidRDefault="00EA1863" w:rsidP="00E275AD">
      <w:pPr>
        <w:widowControl/>
        <w:shd w:val="clear" w:color="auto" w:fill="FFFFFF"/>
        <w:autoSpaceDE/>
        <w:autoSpaceDN/>
        <w:adjustRightInd/>
        <w:ind w:firstLine="567"/>
        <w:rPr>
          <w:rFonts w:eastAsia="Calibri" w:cs="Arial"/>
          <w:bCs/>
          <w:szCs w:val="22"/>
          <w:lang w:eastAsia="en-US"/>
        </w:rPr>
      </w:pPr>
    </w:p>
    <w:p w14:paraId="044E3FCF" w14:textId="77777777" w:rsidR="00EA1863" w:rsidRPr="00EA1863" w:rsidRDefault="00EA1863" w:rsidP="00E275AD">
      <w:pPr>
        <w:pStyle w:val="Odlomakpopisa"/>
        <w:numPr>
          <w:ilvl w:val="0"/>
          <w:numId w:val="25"/>
        </w:numPr>
        <w:shd w:val="clear" w:color="auto" w:fill="FFFFFF"/>
        <w:spacing w:line="240" w:lineRule="auto"/>
        <w:ind w:left="567" w:hanging="567"/>
        <w:jc w:val="both"/>
        <w:rPr>
          <w:rFonts w:ascii="Arial" w:eastAsia="Calibri" w:hAnsi="Arial" w:cs="Arial"/>
          <w:bCs/>
          <w:sz w:val="24"/>
          <w:szCs w:val="24"/>
        </w:rPr>
      </w:pPr>
      <w:r w:rsidRPr="00EA1863">
        <w:rPr>
          <w:rFonts w:ascii="Arial" w:eastAsia="Calibri" w:hAnsi="Arial" w:cs="Arial"/>
          <w:bCs/>
          <w:sz w:val="24"/>
          <w:szCs w:val="24"/>
        </w:rPr>
        <w:t xml:space="preserve">Upravljačko tijelo – Ministarstvo poljoprivrede, šumarstva i ribarstva (dalje u tekstu: Ministarstvo poljoprivrede), Uprava za potpore poljoprivredi i ruralnom razvoju </w:t>
      </w:r>
    </w:p>
    <w:p w14:paraId="48F295D5" w14:textId="77777777" w:rsidR="00EA1863" w:rsidRPr="00EA1863" w:rsidRDefault="00EA1863" w:rsidP="00E275AD">
      <w:pPr>
        <w:pStyle w:val="Odlomakpopisa"/>
        <w:numPr>
          <w:ilvl w:val="0"/>
          <w:numId w:val="25"/>
        </w:numPr>
        <w:shd w:val="clear" w:color="auto" w:fill="FFFFFF"/>
        <w:spacing w:line="240" w:lineRule="auto"/>
        <w:ind w:left="567" w:hanging="567"/>
        <w:jc w:val="both"/>
        <w:rPr>
          <w:rFonts w:ascii="Arial" w:eastAsia="Calibri" w:hAnsi="Arial" w:cs="Arial"/>
          <w:bCs/>
          <w:sz w:val="24"/>
          <w:szCs w:val="24"/>
        </w:rPr>
      </w:pPr>
      <w:r w:rsidRPr="00EA1863">
        <w:rPr>
          <w:rFonts w:ascii="Arial" w:eastAsia="Calibri" w:hAnsi="Arial" w:cs="Arial"/>
          <w:bCs/>
          <w:sz w:val="24"/>
          <w:szCs w:val="24"/>
        </w:rPr>
        <w:t xml:space="preserve">Tijelo nadležno za akreditaciju – Ministarstvo poljoprivrede, Samostalna služba za akreditaciju agencije za plaćanja za poljoprivredne fondove Europske unije </w:t>
      </w:r>
    </w:p>
    <w:p w14:paraId="1D6AD79C" w14:textId="77777777" w:rsidR="00EA1863" w:rsidRPr="00EA1863" w:rsidRDefault="00EA1863" w:rsidP="00E275AD">
      <w:pPr>
        <w:pStyle w:val="Odlomakpopisa"/>
        <w:numPr>
          <w:ilvl w:val="0"/>
          <w:numId w:val="25"/>
        </w:numPr>
        <w:shd w:val="clear" w:color="auto" w:fill="FFFFFF"/>
        <w:spacing w:line="240" w:lineRule="auto"/>
        <w:ind w:left="567" w:hanging="567"/>
        <w:jc w:val="both"/>
        <w:rPr>
          <w:rFonts w:ascii="Arial" w:eastAsia="Calibri" w:hAnsi="Arial" w:cs="Arial"/>
          <w:bCs/>
          <w:sz w:val="24"/>
          <w:szCs w:val="24"/>
        </w:rPr>
      </w:pPr>
      <w:r w:rsidRPr="00EA1863">
        <w:rPr>
          <w:rFonts w:ascii="Arial" w:eastAsia="Calibri" w:hAnsi="Arial" w:cs="Arial"/>
          <w:bCs/>
          <w:sz w:val="24"/>
          <w:szCs w:val="24"/>
        </w:rPr>
        <w:t xml:space="preserve">Akreditirana Agencija za plaćanja – Agencija za plaćanja u poljoprivredi, ribarstvu i ruralnom razvoju (APPRRR) </w:t>
      </w:r>
    </w:p>
    <w:p w14:paraId="26DE3D3C" w14:textId="77777777" w:rsidR="00EA1863" w:rsidRDefault="00EA1863" w:rsidP="00E275AD">
      <w:pPr>
        <w:pStyle w:val="Odlomakpopisa"/>
        <w:numPr>
          <w:ilvl w:val="0"/>
          <w:numId w:val="24"/>
        </w:numPr>
        <w:shd w:val="clear" w:color="auto" w:fill="FFFFFF"/>
        <w:spacing w:line="240" w:lineRule="auto"/>
        <w:ind w:left="567" w:hanging="567"/>
        <w:jc w:val="both"/>
        <w:rPr>
          <w:rFonts w:ascii="Arial" w:eastAsia="Calibri" w:hAnsi="Arial" w:cs="Arial"/>
          <w:bCs/>
          <w:sz w:val="24"/>
          <w:szCs w:val="24"/>
        </w:rPr>
      </w:pPr>
      <w:r w:rsidRPr="00EA1863">
        <w:rPr>
          <w:rFonts w:ascii="Arial" w:eastAsia="Calibri" w:hAnsi="Arial" w:cs="Arial"/>
          <w:bCs/>
          <w:sz w:val="24"/>
          <w:szCs w:val="24"/>
        </w:rPr>
        <w:t xml:space="preserve">Tijelo za ovjeravanje (Revizijsko tijelo) – Agencija za reviziju sustava provedbe programa Europske unije (ARPA), organizacijske jedinice unutar Sektora za reviziju fondova za poljoprivredu, pomorstvo, ribarstvo i akvakulturu. </w:t>
      </w:r>
    </w:p>
    <w:p w14:paraId="4A266327" w14:textId="77777777" w:rsidR="00EA1863" w:rsidRPr="009754E9" w:rsidRDefault="00EA1863" w:rsidP="00E275AD">
      <w:pPr>
        <w:shd w:val="clear" w:color="auto" w:fill="FFFFFF"/>
        <w:rPr>
          <w:rFonts w:eastAsia="Calibri" w:cs="Arial"/>
        </w:rPr>
      </w:pPr>
      <w:r w:rsidRPr="009754E9">
        <w:rPr>
          <w:rFonts w:eastAsia="Calibri" w:cs="Arial"/>
        </w:rPr>
        <w:t>Revizijom je, između ostalog, utvrđeno sljedeće:</w:t>
      </w:r>
    </w:p>
    <w:p w14:paraId="3DB6BD76" w14:textId="65E8BA11" w:rsidR="00EA1863" w:rsidRPr="00EA1863" w:rsidRDefault="00236D26" w:rsidP="00E275AD">
      <w:pPr>
        <w:pStyle w:val="Odlomakpopisa"/>
        <w:numPr>
          <w:ilvl w:val="0"/>
          <w:numId w:val="24"/>
        </w:numPr>
        <w:spacing w:line="240" w:lineRule="auto"/>
        <w:ind w:hanging="720"/>
        <w:jc w:val="both"/>
        <w:rPr>
          <w:rFonts w:ascii="Arial" w:eastAsia="Calibri" w:hAnsi="Arial" w:cs="Arial"/>
          <w:sz w:val="24"/>
        </w:rPr>
      </w:pPr>
      <w:r>
        <w:rPr>
          <w:rFonts w:ascii="Arial" w:eastAsia="Calibri" w:hAnsi="Arial" w:cs="Arial"/>
          <w:sz w:val="24"/>
        </w:rPr>
        <w:t>U</w:t>
      </w:r>
      <w:r w:rsidR="00EA1863" w:rsidRPr="00EA1863">
        <w:rPr>
          <w:rFonts w:ascii="Arial" w:eastAsia="Calibri" w:hAnsi="Arial" w:cs="Arial"/>
          <w:sz w:val="24"/>
        </w:rPr>
        <w:t xml:space="preserve">spostavljeni su strateški, pravni i institucionalni okviri, odnosno određene su institucije i tijela RH za provedbu aktivnosti u vezi s dodjelom </w:t>
      </w:r>
      <w:r w:rsidR="00EA1863" w:rsidRPr="00EA1863">
        <w:rPr>
          <w:rFonts w:ascii="Arial" w:eastAsia="Calibri" w:hAnsi="Arial" w:cs="Arial"/>
          <w:bCs/>
          <w:sz w:val="24"/>
        </w:rPr>
        <w:t>i korištenjem potpora iz EPFRR-a u RH</w:t>
      </w:r>
      <w:r w:rsidR="00EA1863" w:rsidRPr="00EA1863">
        <w:rPr>
          <w:rFonts w:ascii="Arial" w:eastAsia="Calibri" w:hAnsi="Arial" w:cs="Arial"/>
          <w:sz w:val="24"/>
        </w:rPr>
        <w:t>, međutim</w:t>
      </w:r>
      <w:r w:rsidR="00EA1863" w:rsidRPr="00EA1863">
        <w:rPr>
          <w:rFonts w:ascii="Arial" w:eastAsia="Calibri" w:hAnsi="Arial" w:cs="Arial"/>
          <w:b/>
          <w:sz w:val="24"/>
        </w:rPr>
        <w:t xml:space="preserve"> utvrđene su određene slabosti i propusti u vezi s pravnim</w:t>
      </w:r>
      <w:r w:rsidR="00987C41">
        <w:rPr>
          <w:rFonts w:ascii="Arial" w:eastAsia="Calibri" w:hAnsi="Arial" w:cs="Arial"/>
          <w:b/>
          <w:sz w:val="24"/>
        </w:rPr>
        <w:t xml:space="preserve"> i institucionalnim okvirom koji</w:t>
      </w:r>
      <w:r w:rsidR="00EA1863" w:rsidRPr="00EA1863">
        <w:rPr>
          <w:rFonts w:ascii="Arial" w:eastAsia="Calibri" w:hAnsi="Arial" w:cs="Arial"/>
          <w:b/>
          <w:sz w:val="24"/>
        </w:rPr>
        <w:t xml:space="preserve"> utječu na proces dodjele i korištenja potpora iz EPFRR-a.</w:t>
      </w:r>
      <w:r w:rsidR="00EA1863" w:rsidRPr="00EA1863">
        <w:rPr>
          <w:rFonts w:ascii="Arial" w:eastAsia="Calibri" w:hAnsi="Arial" w:cs="Arial"/>
          <w:sz w:val="24"/>
        </w:rPr>
        <w:t xml:space="preserve"> Naime, tri ključna dokumenta za financiranje ruralnog razvoja u RH (Strategija poljoprivrede RH do 2030., Program ruralnog razvoja 2014. – 2020. i Strateški plan ZPP-a 2023. – 2027.) čine logičan slijed planiranja i provedbe poljoprivredne politike, ali među njima </w:t>
      </w:r>
      <w:r w:rsidR="00EA1863" w:rsidRPr="00EA1863">
        <w:rPr>
          <w:rFonts w:ascii="Arial" w:eastAsia="Calibri" w:hAnsi="Arial" w:cs="Arial"/>
          <w:b/>
          <w:sz w:val="24"/>
        </w:rPr>
        <w:t>nije u potpunosti ostvarena vertikalna usklađenost ciljeva, mjera i pokazatelja</w:t>
      </w:r>
      <w:r w:rsidR="00EA1863" w:rsidRPr="00EA1863">
        <w:rPr>
          <w:rFonts w:ascii="Arial" w:eastAsia="Calibri" w:hAnsi="Arial" w:cs="Arial"/>
          <w:sz w:val="24"/>
        </w:rPr>
        <w:t>. Strategija postavlja opće razvojne smjernice, dok provedbeni programi/planovi nedovoljno operacionaliziraju ciljeve i ne uspostavljaju jasnu vezu između dodijeljenih potpora i konkretnih rezultata u poljoprivrednoj proizvodnji, dodanoj vrijednosti ili ruralnom razvoju</w:t>
      </w:r>
      <w:r>
        <w:rPr>
          <w:rFonts w:ascii="Arial" w:eastAsia="Calibri" w:hAnsi="Arial" w:cs="Arial"/>
          <w:sz w:val="24"/>
        </w:rPr>
        <w:t>.</w:t>
      </w:r>
    </w:p>
    <w:p w14:paraId="268F4018" w14:textId="71B3822F" w:rsidR="00EA1863" w:rsidRPr="00EA1863" w:rsidRDefault="00236D26" w:rsidP="00E275AD">
      <w:pPr>
        <w:pStyle w:val="Odlomakpopisa"/>
        <w:numPr>
          <w:ilvl w:val="0"/>
          <w:numId w:val="24"/>
        </w:numPr>
        <w:spacing w:line="240" w:lineRule="auto"/>
        <w:ind w:hanging="720"/>
        <w:jc w:val="both"/>
        <w:rPr>
          <w:rFonts w:ascii="Arial" w:eastAsia="Calibri" w:hAnsi="Arial" w:cs="Arial"/>
          <w:b/>
          <w:sz w:val="24"/>
        </w:rPr>
      </w:pPr>
      <w:r>
        <w:rPr>
          <w:rFonts w:ascii="Arial" w:eastAsia="Calibri" w:hAnsi="Arial" w:cs="Arial"/>
          <w:sz w:val="24"/>
        </w:rPr>
        <w:t>P</w:t>
      </w:r>
      <w:r w:rsidR="00EA1863" w:rsidRPr="00EA1863">
        <w:rPr>
          <w:rFonts w:ascii="Arial" w:eastAsia="Calibri" w:hAnsi="Arial" w:cs="Arial"/>
          <w:sz w:val="24"/>
        </w:rPr>
        <w:t xml:space="preserve">regledom podataka o provedbi Programa ruralnog razvoja te detaljnog uvida u provedbu mjera iz uzorka, utvrđeno je da je </w:t>
      </w:r>
      <w:r w:rsidR="00EA1863" w:rsidRPr="00EA1863">
        <w:rPr>
          <w:rFonts w:ascii="Arial" w:eastAsia="Calibri" w:hAnsi="Arial" w:cs="Arial"/>
          <w:b/>
          <w:sz w:val="24"/>
        </w:rPr>
        <w:t>postignuta visoka razina iskorištenosti sredstava, što pokazuje administrativnu učinkovitost, ali ne nužno i razvojni učinak</w:t>
      </w:r>
      <w:r w:rsidR="00EA1863" w:rsidRPr="00EA1863">
        <w:rPr>
          <w:rFonts w:ascii="Arial" w:eastAsia="Calibri" w:hAnsi="Arial" w:cs="Arial"/>
          <w:sz w:val="24"/>
        </w:rPr>
        <w:t xml:space="preserve"> jer fokus na kvantitativne pokazatelje (broj projekata, iznos isplata) nije bio u dovoljnoj mjeri popraćen sustavnim praćenjem rezultata</w:t>
      </w:r>
      <w:r>
        <w:rPr>
          <w:rFonts w:ascii="Arial" w:eastAsia="Calibri" w:hAnsi="Arial" w:cs="Arial"/>
          <w:sz w:val="24"/>
        </w:rPr>
        <w:t>.</w:t>
      </w:r>
    </w:p>
    <w:p w14:paraId="609AA598" w14:textId="123ACF10" w:rsidR="00EA1863" w:rsidRPr="00EA1863" w:rsidRDefault="00236D26" w:rsidP="00E275AD">
      <w:pPr>
        <w:pStyle w:val="Odlomakpopisa"/>
        <w:numPr>
          <w:ilvl w:val="0"/>
          <w:numId w:val="24"/>
        </w:numPr>
        <w:spacing w:line="240" w:lineRule="auto"/>
        <w:ind w:hanging="720"/>
        <w:jc w:val="both"/>
        <w:rPr>
          <w:rFonts w:ascii="Arial" w:eastAsia="Calibri" w:hAnsi="Arial" w:cs="Arial"/>
          <w:b/>
          <w:sz w:val="24"/>
        </w:rPr>
      </w:pPr>
      <w:r>
        <w:rPr>
          <w:rFonts w:ascii="Arial" w:eastAsia="Calibri" w:hAnsi="Arial" w:cs="Arial"/>
          <w:sz w:val="24"/>
        </w:rPr>
        <w:t>N</w:t>
      </w:r>
      <w:r w:rsidR="00EA1863" w:rsidRPr="00EA1863">
        <w:rPr>
          <w:rFonts w:ascii="Arial" w:eastAsia="Calibri" w:hAnsi="Arial" w:cs="Arial"/>
          <w:sz w:val="24"/>
        </w:rPr>
        <w:t xml:space="preserve">ovi Strateški plan ZPP-a 2023. – 2027. uveo je poboljšani okvir praćenja kroz </w:t>
      </w:r>
      <w:r w:rsidR="00EA1863" w:rsidRPr="00EA1863">
        <w:rPr>
          <w:rFonts w:ascii="Arial" w:eastAsia="Calibri" w:hAnsi="Arial" w:cs="Arial"/>
          <w:i/>
          <w:sz w:val="24"/>
        </w:rPr>
        <w:t>output</w:t>
      </w:r>
      <w:r w:rsidR="00EA1863" w:rsidRPr="00EA1863">
        <w:rPr>
          <w:rFonts w:ascii="Arial" w:eastAsia="Calibri" w:hAnsi="Arial" w:cs="Arial"/>
          <w:sz w:val="24"/>
        </w:rPr>
        <w:t xml:space="preserve"> i indikatore rezultata, međutim </w:t>
      </w:r>
      <w:r w:rsidR="00EA1863" w:rsidRPr="00EA1863">
        <w:rPr>
          <w:rFonts w:ascii="Arial" w:eastAsia="Calibri" w:hAnsi="Arial" w:cs="Arial"/>
          <w:b/>
          <w:sz w:val="24"/>
        </w:rPr>
        <w:t xml:space="preserve">unatoč poboljšanjima u programiranju i provedbi, određeni problemi i dalje su prisutni </w:t>
      </w:r>
      <w:r w:rsidR="00EA1863" w:rsidRPr="00EA1863">
        <w:rPr>
          <w:rFonts w:ascii="Arial" w:eastAsia="Calibri" w:hAnsi="Arial" w:cs="Arial"/>
          <w:sz w:val="24"/>
        </w:rPr>
        <w:t>u smislu kompleksnosti sustava ili administrativnog opterećenja te još uvijek nije jasno definirana povezanost između financijske podrške i postignutih promjena u produktivnosti, strukturi proizvodnje ili ruralnoj zaposlenosti</w:t>
      </w:r>
      <w:r>
        <w:rPr>
          <w:rFonts w:ascii="Arial" w:eastAsia="Calibri" w:hAnsi="Arial" w:cs="Arial"/>
          <w:sz w:val="24"/>
        </w:rPr>
        <w:t>.</w:t>
      </w:r>
    </w:p>
    <w:p w14:paraId="27CF9FFF" w14:textId="6D2BE9B5" w:rsidR="00EA1863" w:rsidRDefault="00236D26" w:rsidP="00E275AD">
      <w:pPr>
        <w:pStyle w:val="Odlomakpopisa"/>
        <w:numPr>
          <w:ilvl w:val="0"/>
          <w:numId w:val="24"/>
        </w:numPr>
        <w:spacing w:line="240" w:lineRule="auto"/>
        <w:ind w:hanging="720"/>
        <w:jc w:val="both"/>
        <w:rPr>
          <w:rFonts w:ascii="Arial" w:eastAsia="Calibri" w:hAnsi="Arial" w:cs="Arial"/>
          <w:b/>
          <w:sz w:val="24"/>
        </w:rPr>
      </w:pPr>
      <w:r>
        <w:rPr>
          <w:rFonts w:ascii="Arial" w:eastAsia="Calibri" w:hAnsi="Arial" w:cs="Arial"/>
          <w:b/>
          <w:sz w:val="24"/>
        </w:rPr>
        <w:t>I</w:t>
      </w:r>
      <w:r w:rsidR="00EA1863" w:rsidRPr="00EA1863">
        <w:rPr>
          <w:rFonts w:ascii="Arial" w:eastAsia="Calibri" w:hAnsi="Arial" w:cs="Arial"/>
          <w:b/>
          <w:sz w:val="24"/>
        </w:rPr>
        <w:t>ako je</w:t>
      </w:r>
      <w:r w:rsidR="00EA1863" w:rsidRPr="00EA1863">
        <w:rPr>
          <w:rFonts w:ascii="Arial" w:eastAsia="Calibri" w:hAnsi="Arial" w:cs="Arial"/>
          <w:sz w:val="24"/>
        </w:rPr>
        <w:t xml:space="preserve"> do konca 2025. iz Europskog poljoprivrednog fonda za ruralni razvoj </w:t>
      </w:r>
      <w:r w:rsidR="00EA1863" w:rsidRPr="00EA1863">
        <w:rPr>
          <w:rFonts w:ascii="Arial" w:eastAsia="Calibri" w:hAnsi="Arial" w:cs="Arial"/>
          <w:b/>
          <w:sz w:val="24"/>
        </w:rPr>
        <w:t>korisnicima</w:t>
      </w:r>
      <w:r w:rsidR="00EA1863" w:rsidRPr="00EA1863">
        <w:rPr>
          <w:rFonts w:ascii="Arial" w:eastAsia="Calibri" w:hAnsi="Arial" w:cs="Arial"/>
          <w:sz w:val="24"/>
        </w:rPr>
        <w:t xml:space="preserve"> </w:t>
      </w:r>
      <w:r w:rsidR="00EA1863" w:rsidRPr="00EA1863">
        <w:rPr>
          <w:rFonts w:ascii="Arial" w:eastAsia="Calibri" w:hAnsi="Arial" w:cs="Arial"/>
          <w:b/>
          <w:sz w:val="24"/>
        </w:rPr>
        <w:t>isplaćeno više od 3,5 milijardi eura iz Programa ruralnog razvoja 2014. – 2020. i Strateškog plana ZPP-a 2023. – 2027., statistički podaci ne pokazuju značajan doprinos potpora rastu poljoprivredne proizvodnje pa tako ni ruralnom razvoju</w:t>
      </w:r>
      <w:r>
        <w:rPr>
          <w:rFonts w:ascii="Arial" w:eastAsia="Calibri" w:hAnsi="Arial" w:cs="Arial"/>
          <w:b/>
          <w:sz w:val="24"/>
        </w:rPr>
        <w:t>.</w:t>
      </w:r>
    </w:p>
    <w:p w14:paraId="6590A9C3" w14:textId="77777777" w:rsidR="00D93139" w:rsidRPr="00D93139" w:rsidRDefault="00D93139" w:rsidP="00D93139">
      <w:pPr>
        <w:rPr>
          <w:rFonts w:eastAsia="Calibri" w:cs="Arial"/>
          <w:b/>
        </w:rPr>
      </w:pPr>
    </w:p>
    <w:p w14:paraId="6339C311" w14:textId="4C8E0721" w:rsidR="00EA1863" w:rsidRPr="00EA1863" w:rsidRDefault="00236D26" w:rsidP="00E275AD">
      <w:pPr>
        <w:pStyle w:val="Odlomakpopisa"/>
        <w:numPr>
          <w:ilvl w:val="0"/>
          <w:numId w:val="24"/>
        </w:numPr>
        <w:spacing w:line="240" w:lineRule="auto"/>
        <w:ind w:hanging="720"/>
        <w:jc w:val="both"/>
        <w:rPr>
          <w:rFonts w:ascii="Arial" w:eastAsia="Calibri" w:hAnsi="Arial" w:cs="Arial"/>
          <w:b/>
          <w:sz w:val="24"/>
        </w:rPr>
      </w:pPr>
      <w:r>
        <w:rPr>
          <w:rFonts w:ascii="Arial" w:eastAsia="Times New Roman" w:hAnsi="Arial" w:cs="Arial"/>
          <w:sz w:val="24"/>
          <w:szCs w:val="24"/>
        </w:rPr>
        <w:lastRenderedPageBreak/>
        <w:t>U</w:t>
      </w:r>
      <w:r w:rsidR="00EA1863" w:rsidRPr="00EA1863">
        <w:rPr>
          <w:rFonts w:ascii="Arial" w:eastAsia="Times New Roman" w:hAnsi="Arial" w:cs="Arial"/>
          <w:sz w:val="24"/>
          <w:szCs w:val="24"/>
        </w:rPr>
        <w:t xml:space="preserve">spješnost sustava dodjele i korištenja potpora </w:t>
      </w:r>
      <w:r w:rsidR="00EA1863" w:rsidRPr="00EA1863">
        <w:rPr>
          <w:rFonts w:ascii="Arial" w:eastAsia="Times New Roman" w:hAnsi="Arial" w:cs="Arial"/>
          <w:b/>
          <w:sz w:val="24"/>
          <w:szCs w:val="24"/>
        </w:rPr>
        <w:t>može se značajno poboljšati</w:t>
      </w:r>
      <w:r w:rsidR="00EA1863" w:rsidRPr="00EA1863">
        <w:rPr>
          <w:rFonts w:ascii="Arial" w:eastAsia="Times New Roman" w:hAnsi="Arial" w:cs="Arial"/>
          <w:sz w:val="24"/>
          <w:szCs w:val="24"/>
        </w:rPr>
        <w:t xml:space="preserve"> </w:t>
      </w:r>
      <w:r w:rsidR="00EA1863" w:rsidRPr="00EA1863">
        <w:rPr>
          <w:rFonts w:ascii="Arial" w:eastAsia="Times New Roman" w:hAnsi="Arial" w:cs="Arial"/>
          <w:b/>
          <w:sz w:val="24"/>
          <w:szCs w:val="24"/>
        </w:rPr>
        <w:t>reorganizacijom procedura i racionalizacijom kriterija.</w:t>
      </w:r>
      <w:r w:rsidR="00EA1863" w:rsidRPr="00EA1863">
        <w:rPr>
          <w:rFonts w:ascii="Arial" w:eastAsia="Times New Roman" w:hAnsi="Arial" w:cs="Arial"/>
          <w:sz w:val="24"/>
          <w:szCs w:val="24"/>
        </w:rPr>
        <w:t xml:space="preserve"> Također, unaprjeđenje je moguće postići kroz: </w:t>
      </w:r>
      <w:r w:rsidR="00EA1863" w:rsidRPr="00EA1863">
        <w:rPr>
          <w:rFonts w:ascii="Arial" w:eastAsia="Times New Roman" w:hAnsi="Arial" w:cs="Arial"/>
          <w:b/>
          <w:sz w:val="24"/>
          <w:szCs w:val="24"/>
        </w:rPr>
        <w:t>smanjenje administrativnog opterećenja, ubrzanje procedura odobravanja i kontrole zahtjeva za potporu, jasne kriterije, povećanje komunikacije i podrške između nadležnih tijela i korisnika te usmjeravanje potpora prema stvarnoj proizvodnji i rezultatima</w:t>
      </w:r>
      <w:r w:rsidR="00EA1863" w:rsidRPr="00EA1863">
        <w:rPr>
          <w:rFonts w:ascii="Arial" w:eastAsia="Times New Roman" w:hAnsi="Arial" w:cs="Arial"/>
          <w:sz w:val="24"/>
          <w:szCs w:val="24"/>
        </w:rPr>
        <w:t>. Takav pristup bi osigurao pravičniji, brži i učinkovitiji sustav dodjele potpora koji bi u većoj mjeri doprinosio ruralnom razvoju i konkurentnosti hrvatske poljoprivrede.</w:t>
      </w:r>
    </w:p>
    <w:p w14:paraId="39FD3D51" w14:textId="7759F77C" w:rsidR="00EA1863" w:rsidRDefault="00EA1863" w:rsidP="00E275AD">
      <w:pPr>
        <w:widowControl/>
        <w:shd w:val="clear" w:color="auto" w:fill="FFFFFF"/>
        <w:autoSpaceDE/>
        <w:autoSpaceDN/>
        <w:adjustRightInd/>
      </w:pPr>
      <w:r w:rsidRPr="00EA1863">
        <w:rPr>
          <w:rFonts w:eastAsia="Calibri" w:cs="Arial"/>
          <w:szCs w:val="22"/>
          <w:lang w:eastAsia="en-US"/>
        </w:rPr>
        <w:t xml:space="preserve">Ured je ocijenio da je provedba aktivnosti u vezi s dodjelom i korištenjem potpora iz </w:t>
      </w:r>
      <w:r w:rsidR="0071367D">
        <w:rPr>
          <w:rFonts w:eastAsia="Calibri" w:cs="Arial"/>
          <w:szCs w:val="22"/>
          <w:lang w:eastAsia="en-US"/>
        </w:rPr>
        <w:t xml:space="preserve">  </w:t>
      </w:r>
      <w:r w:rsidRPr="00EA1863">
        <w:rPr>
          <w:rFonts w:eastAsia="Calibri" w:cs="Arial"/>
          <w:szCs w:val="22"/>
          <w:lang w:eastAsia="en-US"/>
        </w:rPr>
        <w:t xml:space="preserve">EPFRR-a u RH </w:t>
      </w:r>
      <w:r w:rsidRPr="00EA1863">
        <w:rPr>
          <w:rFonts w:eastAsia="Calibri" w:cs="Arial"/>
          <w:b/>
          <w:szCs w:val="22"/>
          <w:lang w:eastAsia="en-US"/>
        </w:rPr>
        <w:t>djelomično učinkovita</w:t>
      </w:r>
      <w:r w:rsidRPr="00EA1863">
        <w:rPr>
          <w:rFonts w:eastAsia="Calibri" w:cs="Arial"/>
          <w:szCs w:val="22"/>
          <w:lang w:eastAsia="en-US"/>
        </w:rPr>
        <w:t xml:space="preserve"> te je subjektima revizije dano </w:t>
      </w:r>
      <w:r w:rsidR="00243586">
        <w:rPr>
          <w:rFonts w:eastAsia="Calibri" w:cs="Arial"/>
          <w:szCs w:val="22"/>
          <w:lang w:eastAsia="en-US"/>
        </w:rPr>
        <w:t xml:space="preserve">sveukupno </w:t>
      </w:r>
      <w:r w:rsidRPr="00EA1863">
        <w:rPr>
          <w:rFonts w:eastAsia="Calibri" w:cs="Arial"/>
          <w:b/>
          <w:szCs w:val="22"/>
          <w:lang w:eastAsia="en-US"/>
        </w:rPr>
        <w:t>1</w:t>
      </w:r>
      <w:r w:rsidR="00243586">
        <w:rPr>
          <w:rFonts w:eastAsia="Calibri" w:cs="Arial"/>
          <w:b/>
          <w:szCs w:val="22"/>
          <w:lang w:eastAsia="en-US"/>
        </w:rPr>
        <w:t>9</w:t>
      </w:r>
      <w:r w:rsidRPr="00EA1863">
        <w:rPr>
          <w:rFonts w:eastAsia="Calibri" w:cs="Arial"/>
          <w:b/>
          <w:szCs w:val="22"/>
          <w:lang w:eastAsia="en-US"/>
        </w:rPr>
        <w:t xml:space="preserve"> preporuka</w:t>
      </w:r>
      <w:r w:rsidRPr="00EA1863">
        <w:rPr>
          <w:rFonts w:eastAsia="Calibri" w:cs="Arial"/>
          <w:szCs w:val="22"/>
          <w:lang w:eastAsia="en-US"/>
        </w:rPr>
        <w:t>.</w:t>
      </w:r>
    </w:p>
    <w:p w14:paraId="4326139C" w14:textId="77777777" w:rsidR="00777188" w:rsidRDefault="00777188" w:rsidP="00E275AD">
      <w:pPr>
        <w:pBdr>
          <w:bottom w:val="single" w:sz="4" w:space="1" w:color="auto"/>
        </w:pBdr>
        <w:tabs>
          <w:tab w:val="left" w:pos="284"/>
          <w:tab w:val="left" w:pos="567"/>
          <w:tab w:val="left" w:pos="851"/>
        </w:tabs>
      </w:pPr>
    </w:p>
    <w:p w14:paraId="26CB1094" w14:textId="504DA60A" w:rsidR="006A6516" w:rsidRDefault="006A6516" w:rsidP="00E275AD">
      <w:pPr>
        <w:tabs>
          <w:tab w:val="left" w:pos="284"/>
          <w:tab w:val="left" w:pos="567"/>
          <w:tab w:val="left" w:pos="851"/>
        </w:tabs>
      </w:pPr>
    </w:p>
    <w:p w14:paraId="4DE7A094" w14:textId="77777777" w:rsidR="00D93139" w:rsidRDefault="00D93139" w:rsidP="00E275AD">
      <w:pPr>
        <w:tabs>
          <w:tab w:val="left" w:pos="284"/>
          <w:tab w:val="left" w:pos="567"/>
          <w:tab w:val="left" w:pos="851"/>
        </w:tabs>
      </w:pPr>
    </w:p>
    <w:p w14:paraId="5747CD7D" w14:textId="77777777" w:rsidR="0006487E" w:rsidRPr="0006487E" w:rsidRDefault="006B7D1D" w:rsidP="00E275AD">
      <w:pPr>
        <w:shd w:val="clear" w:color="auto" w:fill="BFBFBF" w:themeFill="background1" w:themeFillShade="BF"/>
        <w:tabs>
          <w:tab w:val="left" w:pos="284"/>
          <w:tab w:val="left" w:pos="567"/>
          <w:tab w:val="left" w:pos="851"/>
        </w:tabs>
        <w:rPr>
          <w:b/>
        </w:rPr>
      </w:pPr>
      <w:r w:rsidRPr="0006487E">
        <w:rPr>
          <w:b/>
        </w:rPr>
        <w:t xml:space="preserve">IV. </w:t>
      </w:r>
      <w:r w:rsidR="0006487E">
        <w:rPr>
          <w:b/>
        </w:rPr>
        <w:t xml:space="preserve">PROVJERA PROVEDBE NALOGA I </w:t>
      </w:r>
      <w:r w:rsidR="0006487E" w:rsidRPr="0006487E">
        <w:rPr>
          <w:b/>
        </w:rPr>
        <w:t>PREPORUKA U OKVIRU ZASEBNOG</w:t>
      </w:r>
    </w:p>
    <w:p w14:paraId="78A31870" w14:textId="77777777" w:rsidR="0006487E" w:rsidRDefault="0006487E" w:rsidP="00E275AD">
      <w:pPr>
        <w:shd w:val="clear" w:color="auto" w:fill="BFBFBF" w:themeFill="background1" w:themeFillShade="BF"/>
        <w:tabs>
          <w:tab w:val="left" w:pos="284"/>
          <w:tab w:val="left" w:pos="567"/>
          <w:tab w:val="left" w:pos="851"/>
        </w:tabs>
        <w:rPr>
          <w:b/>
        </w:rPr>
      </w:pPr>
      <w:r w:rsidRPr="0006487E">
        <w:rPr>
          <w:b/>
        </w:rPr>
        <w:t>REVIZIJSKOG POSTUPKA</w:t>
      </w:r>
    </w:p>
    <w:p w14:paraId="23ED6D56" w14:textId="77777777" w:rsidR="0006487E" w:rsidRDefault="0006487E" w:rsidP="00E275AD">
      <w:pPr>
        <w:tabs>
          <w:tab w:val="left" w:pos="284"/>
          <w:tab w:val="left" w:pos="567"/>
          <w:tab w:val="left" w:pos="851"/>
        </w:tabs>
        <w:rPr>
          <w:b/>
        </w:rPr>
      </w:pPr>
    </w:p>
    <w:p w14:paraId="66883E67" w14:textId="4E0E8E62" w:rsidR="00CD632C" w:rsidRDefault="00473659" w:rsidP="00E275AD">
      <w:r w:rsidRPr="00473659">
        <w:t xml:space="preserve">Sveukupno je u okviru zasebnih revizijskih postupaka </w:t>
      </w:r>
      <w:r w:rsidR="00777188">
        <w:t xml:space="preserve">tijekom 2025. </w:t>
      </w:r>
      <w:r w:rsidRPr="00473659">
        <w:t xml:space="preserve">provjerena provedba </w:t>
      </w:r>
      <w:r w:rsidR="0071367D">
        <w:t xml:space="preserve">   </w:t>
      </w:r>
      <w:r w:rsidRPr="00473659">
        <w:t>7 652 naloga i preporuke te je utvrđeno da je provedeno 5 357 ili 70,0 % naloga i preporuka, djelomično je provedeno 1 035 ili 1</w:t>
      </w:r>
      <w:r w:rsidR="00236D26">
        <w:t>3,5 %, u postupku provedbe je jedanaest</w:t>
      </w:r>
      <w:r w:rsidRPr="00473659">
        <w:t xml:space="preserve"> ili 0,2 %, nije provedeno 1 208 ili 15,8 %, dok nije primjenjiv 41 ili 0,5 % naloga i preporuka, zbog promijenjenih propisa ili poslovnog okruženja.</w:t>
      </w:r>
    </w:p>
    <w:p w14:paraId="13CEDE2C" w14:textId="77777777" w:rsidR="00CD632C" w:rsidRDefault="00CD632C" w:rsidP="00E275AD"/>
    <w:p w14:paraId="022DEEEB" w14:textId="77777777" w:rsidR="00473659" w:rsidRDefault="00473659" w:rsidP="00E275AD">
      <w:r w:rsidRPr="00473659">
        <w:t xml:space="preserve">Više pojedinosti o utvrđenim statusima provedbe te utvrđenim činjenicama o aktivnostima koje su subjekti revizije provodili u cilju otklanjanja nepravilnosti i propusta sadržano je u </w:t>
      </w:r>
      <w:r w:rsidRPr="007E2FE5">
        <w:rPr>
          <w:b/>
        </w:rPr>
        <w:t>pojedinačnim izvješćima</w:t>
      </w:r>
      <w:r w:rsidRPr="00473659">
        <w:t xml:space="preserve"> </w:t>
      </w:r>
      <w:r w:rsidRPr="007E2FE5">
        <w:rPr>
          <w:b/>
        </w:rPr>
        <w:t>o obavljenoj provjeri provedbe naloga i preporuka</w:t>
      </w:r>
      <w:r w:rsidRPr="00473659">
        <w:t xml:space="preserve"> </w:t>
      </w:r>
      <w:r w:rsidR="00CD632C">
        <w:t xml:space="preserve">te u </w:t>
      </w:r>
      <w:r w:rsidR="00CD632C" w:rsidRPr="007E2FE5">
        <w:rPr>
          <w:b/>
        </w:rPr>
        <w:t>objedinjenim izvješćima</w:t>
      </w:r>
      <w:r w:rsidRPr="00473659">
        <w:t>, objavljenima na mrežnim stranicama Ureda</w:t>
      </w:r>
      <w:r w:rsidR="00CD632C">
        <w:t>.</w:t>
      </w:r>
    </w:p>
    <w:p w14:paraId="373351F0" w14:textId="77777777" w:rsidR="00B004B7" w:rsidRPr="00473659" w:rsidRDefault="00B004B7" w:rsidP="00E275AD">
      <w:pPr>
        <w:pBdr>
          <w:bottom w:val="single" w:sz="4" w:space="1" w:color="auto"/>
        </w:pBdr>
      </w:pPr>
    </w:p>
    <w:p w14:paraId="46DB303E" w14:textId="77777777" w:rsidR="007E2FE5" w:rsidRDefault="007E2FE5" w:rsidP="00E275AD">
      <w:pPr>
        <w:shd w:val="clear" w:color="auto" w:fill="FFFFFF" w:themeFill="background1"/>
        <w:tabs>
          <w:tab w:val="left" w:pos="567"/>
          <w:tab w:val="left" w:pos="1134"/>
          <w:tab w:val="left" w:pos="1701"/>
          <w:tab w:val="left" w:pos="2268"/>
          <w:tab w:val="left" w:pos="2835"/>
          <w:tab w:val="left" w:pos="3402"/>
          <w:tab w:val="left" w:pos="5808"/>
        </w:tabs>
        <w:overflowPunct w:val="0"/>
        <w:textAlignment w:val="baseline"/>
        <w:rPr>
          <w:rFonts w:eastAsia="Calibri" w:cs="Arial"/>
          <w:b/>
        </w:rPr>
      </w:pPr>
    </w:p>
    <w:p w14:paraId="61D69303" w14:textId="77777777" w:rsidR="007E2FE5" w:rsidRDefault="007E2FE5" w:rsidP="00E275AD">
      <w:pPr>
        <w:shd w:val="clear" w:color="auto" w:fill="FFFFFF" w:themeFill="background1"/>
        <w:tabs>
          <w:tab w:val="left" w:pos="567"/>
          <w:tab w:val="left" w:pos="1134"/>
          <w:tab w:val="left" w:pos="1701"/>
          <w:tab w:val="left" w:pos="2268"/>
          <w:tab w:val="left" w:pos="2835"/>
          <w:tab w:val="left" w:pos="3402"/>
          <w:tab w:val="left" w:pos="5808"/>
        </w:tabs>
        <w:overflowPunct w:val="0"/>
        <w:textAlignment w:val="baseline"/>
        <w:rPr>
          <w:rFonts w:eastAsia="Calibri" w:cs="Arial"/>
          <w:b/>
        </w:rPr>
      </w:pPr>
    </w:p>
    <w:p w14:paraId="7FD2C7C8" w14:textId="77777777" w:rsidR="00312FB0" w:rsidRPr="00A93C41" w:rsidRDefault="00312FB0" w:rsidP="00E275AD">
      <w:pPr>
        <w:shd w:val="clear" w:color="auto" w:fill="D9D9D9" w:themeFill="background1" w:themeFillShade="D9"/>
        <w:tabs>
          <w:tab w:val="left" w:pos="567"/>
          <w:tab w:val="left" w:pos="1134"/>
          <w:tab w:val="left" w:pos="1701"/>
          <w:tab w:val="left" w:pos="2268"/>
          <w:tab w:val="left" w:pos="2835"/>
          <w:tab w:val="left" w:pos="3402"/>
          <w:tab w:val="left" w:pos="5808"/>
        </w:tabs>
        <w:overflowPunct w:val="0"/>
        <w:textAlignment w:val="baseline"/>
        <w:rPr>
          <w:rFonts w:eastAsia="Calibri" w:cs="Arial"/>
          <w:b/>
        </w:rPr>
      </w:pPr>
      <w:r>
        <w:rPr>
          <w:rFonts w:eastAsia="Calibri" w:cs="Arial"/>
          <w:b/>
        </w:rPr>
        <w:t>V. REVIZIJE USKLAĐENOSTI</w:t>
      </w:r>
      <w:r w:rsidR="0006487E">
        <w:rPr>
          <w:rFonts w:eastAsia="Calibri" w:cs="Arial"/>
          <w:b/>
        </w:rPr>
        <w:tab/>
      </w:r>
      <w:r w:rsidR="0006487E">
        <w:rPr>
          <w:rFonts w:eastAsia="Calibri" w:cs="Arial"/>
          <w:b/>
        </w:rPr>
        <w:tab/>
      </w:r>
    </w:p>
    <w:p w14:paraId="544740DC" w14:textId="77777777" w:rsidR="00312FB0" w:rsidRDefault="00312FB0" w:rsidP="00E275AD">
      <w:pPr>
        <w:tabs>
          <w:tab w:val="left" w:pos="284"/>
          <w:tab w:val="left" w:pos="567"/>
          <w:tab w:val="left" w:pos="851"/>
        </w:tabs>
        <w:rPr>
          <w:b/>
        </w:rPr>
      </w:pPr>
    </w:p>
    <w:p w14:paraId="4C9025D7" w14:textId="77777777" w:rsidR="00312FB0" w:rsidRPr="00312FB0" w:rsidRDefault="00431DAA" w:rsidP="00E275AD">
      <w:pPr>
        <w:tabs>
          <w:tab w:val="left" w:pos="284"/>
          <w:tab w:val="left" w:pos="567"/>
          <w:tab w:val="left" w:pos="851"/>
        </w:tabs>
        <w:jc w:val="left"/>
        <w:rPr>
          <w:b/>
        </w:rPr>
      </w:pPr>
      <w:r>
        <w:rPr>
          <w:b/>
        </w:rPr>
        <w:t>HRVATSKA</w:t>
      </w:r>
      <w:r w:rsidRPr="00431DAA">
        <w:rPr>
          <w:b/>
        </w:rPr>
        <w:t xml:space="preserve"> AGENCIJA ZA NADZOR FINANCIJSKIH USLUGA ZA 2023. I 2024. ‒ OBVEZNO MIROVINSKO OSIGURANJE NA TEMELJU INDIVIDUALNE KAPITALIZIRANE ŠTEDNJE (II. STUP)</w:t>
      </w:r>
    </w:p>
    <w:p w14:paraId="510894DA" w14:textId="77777777" w:rsidR="00312FB0" w:rsidRPr="00312FB0" w:rsidRDefault="00312FB0" w:rsidP="00E275AD">
      <w:pPr>
        <w:tabs>
          <w:tab w:val="left" w:pos="284"/>
          <w:tab w:val="left" w:pos="567"/>
          <w:tab w:val="left" w:pos="851"/>
        </w:tabs>
        <w:rPr>
          <w:b/>
        </w:rPr>
      </w:pPr>
      <w:r w:rsidRPr="00312FB0">
        <w:rPr>
          <w:b/>
        </w:rPr>
        <w:t xml:space="preserve"> </w:t>
      </w:r>
    </w:p>
    <w:p w14:paraId="514350AD" w14:textId="77777777" w:rsidR="00312FB0" w:rsidRPr="00312FB0" w:rsidRDefault="00312FB0" w:rsidP="00E275AD">
      <w:pPr>
        <w:tabs>
          <w:tab w:val="left" w:pos="284"/>
          <w:tab w:val="left" w:pos="567"/>
          <w:tab w:val="left" w:pos="851"/>
        </w:tabs>
      </w:pPr>
      <w:r w:rsidRPr="00312FB0">
        <w:t xml:space="preserve">Predmet revizije bio je institucionalni, zakonodavni i strateški okvir obveznog mirovinskog osiguranja na temelju individualne kapitalizirane štednje (II. stup) te usklađenost poslovanja Hanfe, sa zakonima, podzakonskim propisima i unutarnjim aktima koji imaju značajan utjecaj na poslovanje u dijelu nadležnosti Hanfe u sustavu II. stupa. </w:t>
      </w:r>
    </w:p>
    <w:p w14:paraId="1E7AE2C1" w14:textId="77777777" w:rsidR="00312FB0" w:rsidRPr="00312FB0" w:rsidRDefault="00312FB0" w:rsidP="00E275AD">
      <w:pPr>
        <w:tabs>
          <w:tab w:val="left" w:pos="284"/>
          <w:tab w:val="left" w:pos="567"/>
          <w:tab w:val="left" w:pos="851"/>
        </w:tabs>
      </w:pPr>
    </w:p>
    <w:p w14:paraId="6B59BAC9" w14:textId="756E51C1" w:rsidR="00312FB0" w:rsidRPr="00312FB0" w:rsidRDefault="00312FB0" w:rsidP="00E275AD">
      <w:pPr>
        <w:tabs>
          <w:tab w:val="left" w:pos="284"/>
          <w:tab w:val="left" w:pos="567"/>
          <w:tab w:val="left" w:pos="851"/>
        </w:tabs>
      </w:pPr>
      <w:r w:rsidRPr="00312FB0">
        <w:t>Na temelju provedenih revizijskih postupaka i utvrđenih činjenica, primjenjujući utvrđene kriterije, Ured je ocijenio da su aktivnosti Hanfe koje se odnose na obvezno mirovinsko osiguranje na temelju individualne kapitalizirane štednje (II. stup) u revidiranom razdoblju usklađene, pri čemu su potrebna određena poboljšanja te su</w:t>
      </w:r>
      <w:r w:rsidR="00236D26">
        <w:t>, među ostalim</w:t>
      </w:r>
      <w:r w:rsidR="00A36487">
        <w:t xml:space="preserve">, </w:t>
      </w:r>
      <w:r w:rsidRPr="00312FB0">
        <w:t xml:space="preserve">dane sljedeće </w:t>
      </w:r>
      <w:r w:rsidRPr="00431DAA">
        <w:rPr>
          <w:b/>
        </w:rPr>
        <w:t>preporuke i nalozi</w:t>
      </w:r>
      <w:r w:rsidRPr="00312FB0">
        <w:t>:</w:t>
      </w:r>
    </w:p>
    <w:p w14:paraId="6C5FA575" w14:textId="77777777" w:rsidR="00312FB0" w:rsidRPr="00312FB0" w:rsidRDefault="00312FB0" w:rsidP="00E275AD">
      <w:pPr>
        <w:tabs>
          <w:tab w:val="left" w:pos="284"/>
          <w:tab w:val="left" w:pos="567"/>
          <w:tab w:val="left" w:pos="851"/>
        </w:tabs>
      </w:pPr>
    </w:p>
    <w:p w14:paraId="46E150C2" w14:textId="0CCB9A1C" w:rsidR="00A36487" w:rsidRPr="00312FB0" w:rsidRDefault="00312FB0" w:rsidP="0071367D">
      <w:pPr>
        <w:tabs>
          <w:tab w:val="left" w:pos="567"/>
          <w:tab w:val="left" w:pos="851"/>
        </w:tabs>
        <w:ind w:left="567" w:hanging="567"/>
      </w:pPr>
      <w:r w:rsidRPr="00312FB0">
        <w:t>–</w:t>
      </w:r>
      <w:r w:rsidRPr="00312FB0">
        <w:tab/>
        <w:t>U suradnji s Ministarstvom rada, mirovinskoga sustava, obitelji i socijalne politike, poduzeti aktivnosti na normativnom uređenju uvjeta, i to odgovarajućih znanja, vještina i iskustva, za obavljanje dužnosti predstavljanja i zastupanja članova mirovinskih fondova te uvjeta stručnosti za nezavisnog stručnjaka.</w:t>
      </w:r>
    </w:p>
    <w:p w14:paraId="482B969C" w14:textId="77777777" w:rsidR="00312FB0" w:rsidRPr="00312FB0" w:rsidRDefault="00312FB0" w:rsidP="00E275AD">
      <w:pPr>
        <w:tabs>
          <w:tab w:val="left" w:pos="567"/>
          <w:tab w:val="left" w:pos="851"/>
        </w:tabs>
        <w:ind w:left="567" w:hanging="567"/>
      </w:pPr>
      <w:r w:rsidRPr="00312FB0">
        <w:lastRenderedPageBreak/>
        <w:t>–</w:t>
      </w:r>
      <w:r w:rsidRPr="00312FB0">
        <w:tab/>
        <w:t>Detaljnije propisati vođenje računovodstva i strukturu financijskih izvještaja na način da sadrže razradu rashoda na troškove koji se odnose na obvezne i na troškove koji se odnose na dobrovoljne mirovinske fondove. Osigurati da bilješke uz financijske izvještaje sadrže opis stavki financijskih izvještaja koje su značajne po vrijednosti i po prirodi te ugraditi kontrole između iskazanih podataka.</w:t>
      </w:r>
    </w:p>
    <w:p w14:paraId="4B3DBD88" w14:textId="77777777" w:rsidR="00312FB0" w:rsidRPr="00312FB0" w:rsidRDefault="00312FB0" w:rsidP="00E275AD">
      <w:pPr>
        <w:tabs>
          <w:tab w:val="left" w:pos="567"/>
          <w:tab w:val="left" w:pos="851"/>
        </w:tabs>
        <w:ind w:left="567" w:hanging="567"/>
      </w:pPr>
      <w:r w:rsidRPr="00312FB0">
        <w:t>–</w:t>
      </w:r>
      <w:r w:rsidRPr="00312FB0">
        <w:tab/>
        <w:t>U suradnji s Ministarstvom rada, mirovinskoga sustava, obitelji i socijalne politike, poduzeti aktivnosti na normativnom uređenju visine jamstvenog pologa mirovinskih društava.</w:t>
      </w:r>
    </w:p>
    <w:p w14:paraId="1A9CE299" w14:textId="24433D12" w:rsidR="00312FB0" w:rsidRPr="00312FB0" w:rsidRDefault="00312FB0" w:rsidP="00E275AD">
      <w:pPr>
        <w:tabs>
          <w:tab w:val="left" w:pos="567"/>
          <w:tab w:val="left" w:pos="851"/>
        </w:tabs>
        <w:ind w:left="567" w:hanging="567"/>
      </w:pPr>
      <w:r w:rsidRPr="00312FB0">
        <w:t>–</w:t>
      </w:r>
      <w:r w:rsidRPr="00312FB0">
        <w:tab/>
        <w:t>Dodatno urediti postupke naknade štete Pravilnikom o postupku naknade štete članovima obveznog mirovinskog fonda i/ili obveznom mirovinskom fondu</w:t>
      </w:r>
      <w:r w:rsidR="00236D26">
        <w:t>.</w:t>
      </w:r>
    </w:p>
    <w:p w14:paraId="0FADD968" w14:textId="77777777" w:rsidR="00312FB0" w:rsidRPr="00312FB0" w:rsidRDefault="00312FB0" w:rsidP="00E275AD">
      <w:pPr>
        <w:tabs>
          <w:tab w:val="left" w:pos="567"/>
          <w:tab w:val="left" w:pos="851"/>
        </w:tabs>
        <w:ind w:left="567" w:hanging="567"/>
      </w:pPr>
      <w:r w:rsidRPr="00312FB0">
        <w:t>–</w:t>
      </w:r>
      <w:r w:rsidRPr="00312FB0">
        <w:tab/>
        <w:t>U suradnji s Ministarstvom rada, mirovinskoga sustava, obitelji i socijalne politike, razmotriti uvođenje druge mjere za smanjenje koncentracije imovine u jednom ili dva najveća obvezna mirovinska fonda.</w:t>
      </w:r>
    </w:p>
    <w:p w14:paraId="1B7A2BBF" w14:textId="77777777" w:rsidR="00312FB0" w:rsidRPr="00312FB0" w:rsidRDefault="00312FB0" w:rsidP="00E275AD">
      <w:pPr>
        <w:tabs>
          <w:tab w:val="left" w:pos="567"/>
          <w:tab w:val="left" w:pos="851"/>
        </w:tabs>
        <w:ind w:left="567" w:hanging="567"/>
      </w:pPr>
      <w:r w:rsidRPr="00312FB0">
        <w:t>–</w:t>
      </w:r>
      <w:r w:rsidRPr="00312FB0">
        <w:tab/>
        <w:t>Detaljnije definirati način na koji rezultati procjene rizika mirovinskih društava utječu na odabir subjekata nadzora i tema koje će biti uključene u planove nadzora, pravodobno donositi izmjene trogodišnjih planova nadzora, sastavljati sveobuhvatni izvještaj o realizaciji plana nadzornih aktivnosti te osigurati pravodobno i plansko provođenje neposrednih nadzora.</w:t>
      </w:r>
    </w:p>
    <w:p w14:paraId="38ED045F" w14:textId="77777777" w:rsidR="00312FB0" w:rsidRPr="00312FB0" w:rsidRDefault="00312FB0" w:rsidP="00E275AD">
      <w:pPr>
        <w:tabs>
          <w:tab w:val="left" w:pos="567"/>
          <w:tab w:val="left" w:pos="851"/>
        </w:tabs>
        <w:ind w:left="567" w:hanging="567"/>
      </w:pPr>
      <w:r w:rsidRPr="00312FB0">
        <w:t xml:space="preserve"> –</w:t>
      </w:r>
      <w:r w:rsidRPr="00312FB0">
        <w:tab/>
        <w:t>Poduzeti aktivnosti na usklađenju rokova dostave izvještaja o radu mirovinskih fondova Hrvatskom saboru s rokovima za dostavu revidiranih godišnjih financijskih izvještaja mirovinskih fondova te na usklađenju rokova dostave izvještaja o radu Hanfe Hrvatskom saboru s rokovima za dostavu izvještaja o radu mirovinskih fondova.</w:t>
      </w:r>
    </w:p>
    <w:p w14:paraId="77CD7D03" w14:textId="77777777" w:rsidR="00312FB0" w:rsidRDefault="00312FB0" w:rsidP="00E275AD">
      <w:pPr>
        <w:tabs>
          <w:tab w:val="left" w:pos="567"/>
          <w:tab w:val="left" w:pos="851"/>
        </w:tabs>
        <w:ind w:left="567" w:hanging="567"/>
      </w:pPr>
      <w:r w:rsidRPr="00312FB0">
        <w:t>–</w:t>
      </w:r>
      <w:r w:rsidRPr="00312FB0">
        <w:tab/>
        <w:t>Uspostaviti rubriku s podacima o obveznom mirovinskom osiguranju na mrežnim stranicama Hanfe, u godišnjem izvješću Hanfe ili u zasebnom izvješću objediniti informacije o provedbi aktivnosti u vezi s obveznim mirovinskim osiguranjem na temelju individualne kapitalizirane štednje.</w:t>
      </w:r>
    </w:p>
    <w:p w14:paraId="2141C764" w14:textId="77777777" w:rsidR="000058AD" w:rsidRPr="00312FB0" w:rsidRDefault="000058AD" w:rsidP="00E275AD">
      <w:pPr>
        <w:tabs>
          <w:tab w:val="left" w:pos="567"/>
          <w:tab w:val="left" w:pos="851"/>
        </w:tabs>
        <w:ind w:left="567" w:hanging="567"/>
      </w:pPr>
    </w:p>
    <w:p w14:paraId="738AFEFF" w14:textId="5A69496E" w:rsidR="00312FB0" w:rsidRDefault="00312FB0" w:rsidP="00E275AD">
      <w:pPr>
        <w:pBdr>
          <w:bottom w:val="single" w:sz="4" w:space="1" w:color="auto"/>
        </w:pBdr>
        <w:tabs>
          <w:tab w:val="left" w:pos="851"/>
        </w:tabs>
      </w:pPr>
      <w:r w:rsidRPr="00312FB0">
        <w:t>Proved</w:t>
      </w:r>
      <w:r w:rsidR="00236D26">
        <w:t>bom preporuka i naloga omogućit</w:t>
      </w:r>
      <w:r w:rsidRPr="00312FB0">
        <w:t xml:space="preserve"> će se unaprjeđenje planiranja i provedba nadzornih aktivnosti nad obveznim mirovinskim osiguranjem na temelju individualne kapitalizirane štednje (II. stup), jačanje usklađenosti podzakonskog okvira, poboljšanje dokumentiranja i sljedivosti nadzornih postupaka te povećanje transparentnosti i financijske pismenosti.</w:t>
      </w:r>
    </w:p>
    <w:p w14:paraId="36657B44" w14:textId="77777777" w:rsidR="00C9664C" w:rsidRDefault="00C9664C" w:rsidP="00E275AD">
      <w:pPr>
        <w:pBdr>
          <w:bottom w:val="single" w:sz="4" w:space="1" w:color="auto"/>
        </w:pBdr>
        <w:tabs>
          <w:tab w:val="left" w:pos="851"/>
        </w:tabs>
      </w:pPr>
    </w:p>
    <w:p w14:paraId="6E36B8A4" w14:textId="77777777" w:rsidR="00B004B7" w:rsidRDefault="00B004B7" w:rsidP="00E275AD">
      <w:pPr>
        <w:tabs>
          <w:tab w:val="left" w:pos="284"/>
          <w:tab w:val="left" w:pos="567"/>
          <w:tab w:val="left" w:pos="851"/>
        </w:tabs>
      </w:pPr>
    </w:p>
    <w:p w14:paraId="44565CB8" w14:textId="77777777" w:rsidR="00632403" w:rsidRDefault="00632403" w:rsidP="00E275AD">
      <w:pPr>
        <w:tabs>
          <w:tab w:val="left" w:pos="284"/>
          <w:tab w:val="left" w:pos="567"/>
          <w:tab w:val="left" w:pos="851"/>
        </w:tabs>
      </w:pPr>
    </w:p>
    <w:p w14:paraId="402FE379" w14:textId="1359B9C0" w:rsidR="00632403" w:rsidRPr="00B004B7" w:rsidRDefault="00632403" w:rsidP="00E275AD">
      <w:pPr>
        <w:tabs>
          <w:tab w:val="left" w:pos="284"/>
          <w:tab w:val="left" w:pos="567"/>
          <w:tab w:val="left" w:pos="851"/>
        </w:tabs>
        <w:rPr>
          <w:i/>
        </w:rPr>
      </w:pPr>
      <w:r w:rsidRPr="00B004B7">
        <w:rPr>
          <w:i/>
        </w:rPr>
        <w:t xml:space="preserve">Više pojedinosti o rezultatima </w:t>
      </w:r>
      <w:r w:rsidR="00637811">
        <w:rPr>
          <w:i/>
        </w:rPr>
        <w:t xml:space="preserve">pojedinačnih </w:t>
      </w:r>
      <w:r w:rsidRPr="00B004B7">
        <w:rPr>
          <w:i/>
        </w:rPr>
        <w:t>revizija i provjera prov</w:t>
      </w:r>
      <w:r w:rsidR="00076E73">
        <w:rPr>
          <w:i/>
        </w:rPr>
        <w:t xml:space="preserve">edbe naloga i preporuka, kao i </w:t>
      </w:r>
      <w:r w:rsidRPr="00B004B7">
        <w:rPr>
          <w:i/>
        </w:rPr>
        <w:t xml:space="preserve">o ostalim izvješćima o obavljenim revizijama </w:t>
      </w:r>
      <w:r w:rsidR="00236D26">
        <w:rPr>
          <w:i/>
        </w:rPr>
        <w:t>dostavljenima danas Hrvatskome s</w:t>
      </w:r>
      <w:r w:rsidRPr="00B004B7">
        <w:rPr>
          <w:i/>
        </w:rPr>
        <w:t>aboru (navedenima u posljednje d</w:t>
      </w:r>
      <w:r w:rsidR="007E3257">
        <w:rPr>
          <w:i/>
        </w:rPr>
        <w:t>vije crtice prve stranice ovog p</w:t>
      </w:r>
      <w:r w:rsidRPr="00B004B7">
        <w:rPr>
          <w:i/>
        </w:rPr>
        <w:t xml:space="preserve">riopćenja) može se pročitati u izvješćima objavljenima na mrežnim stranicama Ureda, </w:t>
      </w:r>
      <w:hyperlink r:id="rId10" w:history="1">
        <w:r w:rsidR="00590658" w:rsidRPr="00680BB0">
          <w:rPr>
            <w:rStyle w:val="Hiperveza"/>
            <w:i/>
          </w:rPr>
          <w:t>www.revizija.hr</w:t>
        </w:r>
      </w:hyperlink>
      <w:r w:rsidRPr="00B004B7">
        <w:rPr>
          <w:i/>
        </w:rPr>
        <w:t>.</w:t>
      </w:r>
    </w:p>
    <w:p w14:paraId="083670A0" w14:textId="77777777" w:rsidR="00312FB0" w:rsidRPr="00312FB0" w:rsidRDefault="00312FB0" w:rsidP="00E275AD">
      <w:pPr>
        <w:tabs>
          <w:tab w:val="left" w:pos="284"/>
          <w:tab w:val="left" w:pos="567"/>
          <w:tab w:val="left" w:pos="851"/>
        </w:tabs>
      </w:pPr>
    </w:p>
    <w:bookmarkEnd w:id="1"/>
    <w:p w14:paraId="365451F0" w14:textId="77777777" w:rsidR="00D93139" w:rsidRDefault="00D93139" w:rsidP="00E275AD">
      <w:pPr>
        <w:tabs>
          <w:tab w:val="left" w:pos="567"/>
        </w:tabs>
        <w:jc w:val="left"/>
      </w:pPr>
    </w:p>
    <w:p w14:paraId="2B8B7189" w14:textId="4A082A87" w:rsidR="00951A71" w:rsidRPr="003B4E3F" w:rsidRDefault="00842AA3" w:rsidP="00E275AD">
      <w:pPr>
        <w:tabs>
          <w:tab w:val="left" w:pos="567"/>
        </w:tabs>
        <w:jc w:val="left"/>
      </w:pPr>
      <w:r w:rsidRPr="003B4E3F">
        <w:t xml:space="preserve">Osoba za kontakt: </w:t>
      </w:r>
      <w:r w:rsidR="00BA482E">
        <w:t>Josipa Maraković</w:t>
      </w:r>
      <w:r w:rsidR="00536163" w:rsidRPr="003B4E3F">
        <w:t xml:space="preserve">, </w:t>
      </w:r>
      <w:r w:rsidR="00BE76D9">
        <w:t>pomoćnica glavnoga državnog revizora</w:t>
      </w:r>
      <w:r w:rsidR="00BA482E">
        <w:t xml:space="preserve"> za odnose s javnošću</w:t>
      </w:r>
      <w:r w:rsidR="00536163" w:rsidRPr="003B4E3F">
        <w:t xml:space="preserve">, e-adresa: </w:t>
      </w:r>
      <w:hyperlink r:id="rId11" w:history="1">
        <w:r w:rsidR="00BA482E" w:rsidRPr="009F6E16">
          <w:rPr>
            <w:rStyle w:val="Hiperveza"/>
          </w:rPr>
          <w:t>josipa.marakovic@revizija.hr</w:t>
        </w:r>
      </w:hyperlink>
      <w:r w:rsidR="00BA482E">
        <w:t xml:space="preserve">, </w:t>
      </w:r>
      <w:r w:rsidR="00536163" w:rsidRPr="003B4E3F">
        <w:t>tel.: 4</w:t>
      </w:r>
      <w:r w:rsidR="00BA482E">
        <w:t>6</w:t>
      </w:r>
      <w:r w:rsidR="00536163" w:rsidRPr="003B4E3F">
        <w:t xml:space="preserve"> </w:t>
      </w:r>
      <w:r w:rsidR="00BA482E">
        <w:t>27</w:t>
      </w:r>
      <w:r w:rsidR="00536163" w:rsidRPr="003B4E3F">
        <w:t xml:space="preserve"> </w:t>
      </w:r>
      <w:r w:rsidR="00BA482E">
        <w:t>858</w:t>
      </w:r>
      <w:r w:rsidR="00B928D7" w:rsidRPr="003B4E3F">
        <w:t xml:space="preserve">, </w:t>
      </w:r>
      <w:r w:rsidR="00BA482E">
        <w:t>095</w:t>
      </w:r>
      <w:r w:rsidR="00BE76D9">
        <w:t xml:space="preserve"> 3759 210</w:t>
      </w:r>
      <w:r w:rsidR="00536163" w:rsidRPr="003B4E3F">
        <w:t>.</w:t>
      </w:r>
    </w:p>
    <w:p w14:paraId="1F8F4C38" w14:textId="77777777" w:rsidR="00B928D7" w:rsidRPr="003B4E3F" w:rsidRDefault="00B928D7" w:rsidP="00E275AD">
      <w:pPr>
        <w:jc w:val="left"/>
      </w:pPr>
    </w:p>
    <w:p w14:paraId="576BC3B4" w14:textId="77777777" w:rsidR="00B56DF6" w:rsidRPr="003B4E3F" w:rsidRDefault="00B56DF6" w:rsidP="00E275AD">
      <w:pPr>
        <w:jc w:val="left"/>
      </w:pPr>
    </w:p>
    <w:p w14:paraId="5C3FB58B" w14:textId="77777777" w:rsidR="00E0066C" w:rsidRDefault="00E14BF8" w:rsidP="00E275AD">
      <w:r w:rsidRPr="003B4E3F">
        <w:tab/>
      </w:r>
      <w:r w:rsidRPr="003B4E3F">
        <w:tab/>
      </w:r>
      <w:r w:rsidRPr="003B4E3F">
        <w:tab/>
      </w:r>
    </w:p>
    <w:p w14:paraId="13247795" w14:textId="77777777" w:rsidR="00E0066C" w:rsidRDefault="00E0066C" w:rsidP="00E275AD">
      <w:pPr>
        <w:ind w:left="2836" w:firstLine="709"/>
      </w:pPr>
      <w:r>
        <w:t xml:space="preserve">POMOĆNICA GLAVNOGA DRŽAVNOGA REVIZORA </w:t>
      </w:r>
      <w:r w:rsidR="00BA482E">
        <w:t xml:space="preserve"> </w:t>
      </w:r>
    </w:p>
    <w:p w14:paraId="790C39AF" w14:textId="77777777" w:rsidR="00E14BF8" w:rsidRPr="003B4E3F" w:rsidRDefault="00BA482E" w:rsidP="00E275AD">
      <w:pPr>
        <w:ind w:left="4254" w:firstLine="709"/>
      </w:pPr>
      <w:r>
        <w:t>ZA ODNOSE S JAVNOŠĆU</w:t>
      </w:r>
    </w:p>
    <w:p w14:paraId="650DF55E" w14:textId="77777777" w:rsidR="00B56DF6" w:rsidRPr="003B4E3F" w:rsidRDefault="00E14BF8" w:rsidP="00E275AD">
      <w:r w:rsidRPr="003B4E3F">
        <w:tab/>
      </w:r>
      <w:r w:rsidRPr="003B4E3F">
        <w:tab/>
      </w:r>
      <w:r w:rsidRPr="003B4E3F">
        <w:tab/>
      </w:r>
      <w:r w:rsidRPr="003B4E3F">
        <w:tab/>
      </w:r>
      <w:r w:rsidRPr="003B4E3F">
        <w:tab/>
      </w:r>
      <w:r w:rsidRPr="003B4E3F">
        <w:tab/>
      </w:r>
    </w:p>
    <w:p w14:paraId="638B0EA8" w14:textId="77777777" w:rsidR="00BA482E" w:rsidRDefault="00B56DF6" w:rsidP="00E275AD">
      <w:r w:rsidRPr="003B4E3F">
        <w:tab/>
      </w:r>
      <w:r w:rsidRPr="003B4E3F">
        <w:tab/>
      </w:r>
      <w:r w:rsidRPr="003B4E3F">
        <w:tab/>
      </w:r>
      <w:r w:rsidRPr="003B4E3F">
        <w:tab/>
      </w:r>
      <w:r w:rsidRPr="003B4E3F">
        <w:tab/>
      </w:r>
      <w:r w:rsidRPr="003B4E3F">
        <w:tab/>
      </w:r>
      <w:r w:rsidR="002D0C11">
        <w:tab/>
      </w:r>
      <w:r w:rsidR="00BA482E">
        <w:t>Josipa Maraković, dipl. oec</w:t>
      </w:r>
      <w:r w:rsidR="00215339">
        <w:t>.</w:t>
      </w:r>
      <w:r w:rsidR="00BA482E">
        <w:t xml:space="preserve">, </w:t>
      </w:r>
    </w:p>
    <w:p w14:paraId="68BE385E" w14:textId="77777777" w:rsidR="00951A71" w:rsidRPr="003B4E3F" w:rsidRDefault="00DC37F8" w:rsidP="00E275AD">
      <w:pPr>
        <w:ind w:left="4963"/>
      </w:pPr>
      <w:r>
        <w:t xml:space="preserve">  </w:t>
      </w:r>
      <w:r w:rsidR="00A93C41">
        <w:t xml:space="preserve"> </w:t>
      </w:r>
      <w:r w:rsidR="00BA482E">
        <w:t xml:space="preserve">univ. spec. publ. </w:t>
      </w:r>
      <w:r w:rsidR="0016170C">
        <w:t>r</w:t>
      </w:r>
      <w:r w:rsidR="00BA482E">
        <w:t>el</w:t>
      </w:r>
      <w:r w:rsidR="0016170C">
        <w:t>.</w:t>
      </w:r>
      <w:r w:rsidR="00312A9C">
        <w:t>, v. r.</w:t>
      </w:r>
    </w:p>
    <w:p w14:paraId="64855938" w14:textId="77777777" w:rsidR="00324820" w:rsidRDefault="00324820" w:rsidP="00E275AD"/>
    <w:p w14:paraId="017063FB" w14:textId="06FFC744" w:rsidR="00DC37F8" w:rsidRPr="00DC37F8" w:rsidRDefault="00DC37F8" w:rsidP="008713E7">
      <w:pPr>
        <w:jc w:val="left"/>
        <w:rPr>
          <w:i/>
        </w:rPr>
      </w:pPr>
      <w:r w:rsidRPr="00DC37F8">
        <w:rPr>
          <w:rFonts w:cs="Arial"/>
          <w:i/>
        </w:rPr>
        <w:lastRenderedPageBreak/>
        <w:t xml:space="preserve">Prilog: Izražena mišljenja i dane ocjene u izvješćima o obavljenoj reviziji dostavljenima Hrvatskom saboru </w:t>
      </w:r>
      <w:r w:rsidR="009038CB">
        <w:rPr>
          <w:rFonts w:cs="Arial"/>
          <w:i/>
        </w:rPr>
        <w:t>u</w:t>
      </w:r>
      <w:r w:rsidRPr="00DC37F8">
        <w:rPr>
          <w:rFonts w:cs="Arial"/>
          <w:i/>
        </w:rPr>
        <w:t xml:space="preserve"> izvještajno</w:t>
      </w:r>
      <w:r w:rsidR="009038CB">
        <w:rPr>
          <w:rFonts w:cs="Arial"/>
          <w:i/>
        </w:rPr>
        <w:t>m razdoblju</w:t>
      </w:r>
      <w:r w:rsidRPr="00DC37F8">
        <w:rPr>
          <w:rFonts w:cs="Arial"/>
          <w:i/>
        </w:rPr>
        <w:t xml:space="preserve"> 2025.</w:t>
      </w:r>
    </w:p>
    <w:p w14:paraId="4FB83886" w14:textId="77777777" w:rsidR="00324820" w:rsidRDefault="00324820" w:rsidP="00E275AD"/>
    <w:tbl>
      <w:tblPr>
        <w:tblStyle w:val="Reetkatablice"/>
        <w:tblW w:w="9776" w:type="dxa"/>
        <w:jc w:val="center"/>
        <w:tblLook w:val="04A0" w:firstRow="1" w:lastRow="0" w:firstColumn="1" w:lastColumn="0" w:noHBand="0" w:noVBand="1"/>
      </w:tblPr>
      <w:tblGrid>
        <w:gridCol w:w="495"/>
        <w:gridCol w:w="5596"/>
        <w:gridCol w:w="1842"/>
        <w:gridCol w:w="1843"/>
      </w:tblGrid>
      <w:tr w:rsidR="00D02C62" w:rsidRPr="00324820" w14:paraId="408E2D28" w14:textId="77777777" w:rsidTr="001F3738">
        <w:trPr>
          <w:trHeight w:val="504"/>
          <w:jc w:val="center"/>
        </w:trPr>
        <w:tc>
          <w:tcPr>
            <w:tcW w:w="6091" w:type="dxa"/>
            <w:gridSpan w:val="2"/>
            <w:shd w:val="clear" w:color="auto" w:fill="D9D9D9" w:themeFill="background1" w:themeFillShade="D9"/>
            <w:vAlign w:val="center"/>
            <w:hideMark/>
          </w:tcPr>
          <w:p w14:paraId="695D4A30" w14:textId="77777777" w:rsidR="00D02C62" w:rsidRPr="00324820" w:rsidRDefault="00D02C62" w:rsidP="00E275AD">
            <w:pPr>
              <w:jc w:val="center"/>
              <w:rPr>
                <w:rFonts w:cs="Arial"/>
                <w:b/>
                <w:sz w:val="20"/>
                <w:szCs w:val="20"/>
              </w:rPr>
            </w:pPr>
            <w:r w:rsidRPr="00324820">
              <w:rPr>
                <w:rFonts w:cs="Arial"/>
                <w:b/>
                <w:sz w:val="20"/>
                <w:szCs w:val="20"/>
              </w:rPr>
              <w:t>Vrsta revizije</w:t>
            </w:r>
            <w:r w:rsidR="00FE044E">
              <w:rPr>
                <w:rFonts w:cs="Arial"/>
                <w:b/>
                <w:sz w:val="20"/>
                <w:szCs w:val="20"/>
              </w:rPr>
              <w:t xml:space="preserve"> / subjekti</w:t>
            </w:r>
            <w:r w:rsidRPr="00324820">
              <w:rPr>
                <w:rFonts w:cs="Arial"/>
                <w:b/>
                <w:sz w:val="20"/>
                <w:szCs w:val="20"/>
              </w:rPr>
              <w:t xml:space="preserve"> revizije</w:t>
            </w:r>
          </w:p>
        </w:tc>
        <w:tc>
          <w:tcPr>
            <w:tcW w:w="3685" w:type="dxa"/>
            <w:gridSpan w:val="2"/>
            <w:shd w:val="clear" w:color="auto" w:fill="D9D9D9" w:themeFill="background1" w:themeFillShade="D9"/>
            <w:vAlign w:val="center"/>
            <w:hideMark/>
          </w:tcPr>
          <w:p w14:paraId="3AF4131E" w14:textId="77777777" w:rsidR="00D02C62" w:rsidRPr="00324820" w:rsidRDefault="00D02C62" w:rsidP="00E275AD">
            <w:pPr>
              <w:jc w:val="center"/>
              <w:rPr>
                <w:rFonts w:cs="Arial"/>
                <w:b/>
                <w:sz w:val="20"/>
                <w:szCs w:val="20"/>
              </w:rPr>
            </w:pPr>
            <w:r w:rsidRPr="00324820">
              <w:rPr>
                <w:rFonts w:cs="Arial"/>
                <w:b/>
                <w:sz w:val="20"/>
                <w:szCs w:val="20"/>
              </w:rPr>
              <w:t>Izraženo mišljenje / dana ocjena</w:t>
            </w:r>
          </w:p>
        </w:tc>
      </w:tr>
      <w:tr w:rsidR="00D02C62" w:rsidRPr="00324820" w14:paraId="326ABF7D" w14:textId="77777777" w:rsidTr="001F3738">
        <w:trPr>
          <w:trHeight w:val="288"/>
          <w:jc w:val="center"/>
        </w:trPr>
        <w:tc>
          <w:tcPr>
            <w:tcW w:w="6091" w:type="dxa"/>
            <w:gridSpan w:val="2"/>
            <w:vMerge w:val="restart"/>
            <w:shd w:val="clear" w:color="auto" w:fill="D9D9D9" w:themeFill="background1" w:themeFillShade="D9"/>
            <w:vAlign w:val="center"/>
            <w:hideMark/>
          </w:tcPr>
          <w:p w14:paraId="29672768" w14:textId="77777777" w:rsidR="00324820" w:rsidRDefault="00324820" w:rsidP="00E275AD">
            <w:pPr>
              <w:jc w:val="center"/>
              <w:rPr>
                <w:rFonts w:cs="Arial"/>
                <w:b/>
                <w:sz w:val="20"/>
                <w:szCs w:val="20"/>
              </w:rPr>
            </w:pPr>
          </w:p>
          <w:p w14:paraId="755F8C62" w14:textId="77777777" w:rsidR="00D02C62" w:rsidRPr="00324820" w:rsidRDefault="00D02C62" w:rsidP="00E275AD">
            <w:pPr>
              <w:jc w:val="center"/>
              <w:rPr>
                <w:rFonts w:cs="Arial"/>
                <w:b/>
                <w:sz w:val="20"/>
                <w:szCs w:val="20"/>
              </w:rPr>
            </w:pPr>
            <w:r w:rsidRPr="00324820">
              <w:rPr>
                <w:rFonts w:cs="Arial"/>
                <w:b/>
                <w:sz w:val="20"/>
                <w:szCs w:val="20"/>
              </w:rPr>
              <w:t>FINANCIJSKE REVIZIJE</w:t>
            </w:r>
          </w:p>
        </w:tc>
        <w:tc>
          <w:tcPr>
            <w:tcW w:w="3685" w:type="dxa"/>
            <w:gridSpan w:val="2"/>
            <w:shd w:val="clear" w:color="auto" w:fill="D9D9D9" w:themeFill="background1" w:themeFillShade="D9"/>
            <w:vAlign w:val="center"/>
            <w:hideMark/>
          </w:tcPr>
          <w:p w14:paraId="6D997001" w14:textId="77777777" w:rsidR="00D02C62" w:rsidRPr="00324820" w:rsidRDefault="00D02C62" w:rsidP="00E275AD">
            <w:pPr>
              <w:jc w:val="center"/>
              <w:rPr>
                <w:rFonts w:cs="Arial"/>
                <w:b/>
                <w:sz w:val="20"/>
                <w:szCs w:val="20"/>
              </w:rPr>
            </w:pPr>
            <w:r w:rsidRPr="00324820">
              <w:rPr>
                <w:rFonts w:cs="Arial"/>
                <w:b/>
                <w:sz w:val="20"/>
                <w:szCs w:val="20"/>
              </w:rPr>
              <w:t>Izraženo mišljenje</w:t>
            </w:r>
          </w:p>
        </w:tc>
      </w:tr>
      <w:tr w:rsidR="00D02C62" w:rsidRPr="00324820" w14:paraId="1F5BDFBE" w14:textId="77777777" w:rsidTr="008713E7">
        <w:trPr>
          <w:trHeight w:val="499"/>
          <w:jc w:val="center"/>
        </w:trPr>
        <w:tc>
          <w:tcPr>
            <w:tcW w:w="6091" w:type="dxa"/>
            <w:gridSpan w:val="2"/>
            <w:vMerge/>
            <w:shd w:val="clear" w:color="auto" w:fill="D9D9D9" w:themeFill="background1" w:themeFillShade="D9"/>
            <w:vAlign w:val="center"/>
            <w:hideMark/>
          </w:tcPr>
          <w:p w14:paraId="4440F241" w14:textId="77777777" w:rsidR="00D02C62" w:rsidRPr="00324820" w:rsidRDefault="00D02C62" w:rsidP="00E275AD">
            <w:pPr>
              <w:rPr>
                <w:rFonts w:cs="Arial"/>
                <w:b/>
                <w:sz w:val="20"/>
                <w:szCs w:val="20"/>
              </w:rPr>
            </w:pPr>
          </w:p>
        </w:tc>
        <w:tc>
          <w:tcPr>
            <w:tcW w:w="1842" w:type="dxa"/>
            <w:shd w:val="clear" w:color="auto" w:fill="D9D9D9" w:themeFill="background1" w:themeFillShade="D9"/>
            <w:vAlign w:val="center"/>
            <w:hideMark/>
          </w:tcPr>
          <w:p w14:paraId="0A9A8B46" w14:textId="77777777" w:rsidR="00820BCA" w:rsidRDefault="00D02C62" w:rsidP="00E275AD">
            <w:pPr>
              <w:jc w:val="center"/>
              <w:rPr>
                <w:rFonts w:cs="Arial"/>
                <w:b/>
                <w:sz w:val="20"/>
                <w:szCs w:val="20"/>
              </w:rPr>
            </w:pPr>
            <w:r w:rsidRPr="00324820">
              <w:rPr>
                <w:rFonts w:cs="Arial"/>
                <w:b/>
                <w:sz w:val="20"/>
                <w:szCs w:val="20"/>
              </w:rPr>
              <w:t xml:space="preserve">o </w:t>
            </w:r>
          </w:p>
          <w:p w14:paraId="65DD9FDE" w14:textId="77777777" w:rsidR="00D02C62" w:rsidRPr="00324820" w:rsidRDefault="00D02C62" w:rsidP="00E275AD">
            <w:pPr>
              <w:jc w:val="center"/>
              <w:rPr>
                <w:rFonts w:cs="Arial"/>
                <w:b/>
                <w:sz w:val="20"/>
                <w:szCs w:val="20"/>
              </w:rPr>
            </w:pPr>
            <w:r w:rsidRPr="00324820">
              <w:rPr>
                <w:rFonts w:cs="Arial"/>
                <w:b/>
                <w:sz w:val="20"/>
                <w:szCs w:val="20"/>
              </w:rPr>
              <w:t>financijskim izvještajima</w:t>
            </w:r>
          </w:p>
        </w:tc>
        <w:tc>
          <w:tcPr>
            <w:tcW w:w="1843" w:type="dxa"/>
            <w:shd w:val="clear" w:color="auto" w:fill="D9D9D9" w:themeFill="background1" w:themeFillShade="D9"/>
            <w:vAlign w:val="center"/>
            <w:hideMark/>
          </w:tcPr>
          <w:p w14:paraId="024B04A2" w14:textId="77777777" w:rsidR="00C94A10" w:rsidRDefault="00D02C62" w:rsidP="00E275AD">
            <w:pPr>
              <w:jc w:val="center"/>
              <w:rPr>
                <w:rFonts w:cs="Arial"/>
                <w:b/>
                <w:sz w:val="20"/>
                <w:szCs w:val="20"/>
              </w:rPr>
            </w:pPr>
            <w:r w:rsidRPr="00324820">
              <w:rPr>
                <w:rFonts w:cs="Arial"/>
                <w:b/>
                <w:sz w:val="20"/>
                <w:szCs w:val="20"/>
              </w:rPr>
              <w:t xml:space="preserve">o </w:t>
            </w:r>
          </w:p>
          <w:p w14:paraId="12FD6D6E" w14:textId="77777777" w:rsidR="00D02C62" w:rsidRPr="00324820" w:rsidRDefault="00D02C62" w:rsidP="00E275AD">
            <w:pPr>
              <w:jc w:val="center"/>
              <w:rPr>
                <w:rFonts w:cs="Arial"/>
                <w:b/>
                <w:sz w:val="20"/>
                <w:szCs w:val="20"/>
              </w:rPr>
            </w:pPr>
            <w:r w:rsidRPr="00324820">
              <w:rPr>
                <w:rFonts w:cs="Arial"/>
                <w:b/>
                <w:sz w:val="20"/>
                <w:szCs w:val="20"/>
              </w:rPr>
              <w:t>usklađenosti poslovanja</w:t>
            </w:r>
          </w:p>
        </w:tc>
      </w:tr>
      <w:tr w:rsidR="00D02C62" w:rsidRPr="00324820" w14:paraId="5FCA129E" w14:textId="77777777" w:rsidTr="001F3738">
        <w:trPr>
          <w:trHeight w:val="336"/>
          <w:jc w:val="center"/>
        </w:trPr>
        <w:tc>
          <w:tcPr>
            <w:tcW w:w="495" w:type="dxa"/>
            <w:shd w:val="clear" w:color="auto" w:fill="D9D9D9" w:themeFill="background1" w:themeFillShade="D9"/>
            <w:vAlign w:val="center"/>
            <w:hideMark/>
          </w:tcPr>
          <w:p w14:paraId="22A35125" w14:textId="77777777" w:rsidR="00D02C62" w:rsidRPr="00324820" w:rsidRDefault="00D02C62" w:rsidP="00E275AD">
            <w:pPr>
              <w:rPr>
                <w:rFonts w:cs="Arial"/>
                <w:sz w:val="20"/>
                <w:szCs w:val="20"/>
              </w:rPr>
            </w:pPr>
            <w:r w:rsidRPr="00324820">
              <w:rPr>
                <w:rFonts w:cs="Arial"/>
                <w:sz w:val="20"/>
                <w:szCs w:val="20"/>
              </w:rPr>
              <w:t>1.</w:t>
            </w:r>
          </w:p>
        </w:tc>
        <w:tc>
          <w:tcPr>
            <w:tcW w:w="5596" w:type="dxa"/>
            <w:shd w:val="clear" w:color="auto" w:fill="D9D9D9" w:themeFill="background1" w:themeFillShade="D9"/>
            <w:vAlign w:val="center"/>
            <w:hideMark/>
          </w:tcPr>
          <w:p w14:paraId="6E6CB91A" w14:textId="77777777" w:rsidR="00D02C62" w:rsidRPr="00324820" w:rsidRDefault="00D02C62" w:rsidP="00E275AD">
            <w:pPr>
              <w:rPr>
                <w:rFonts w:cs="Arial"/>
                <w:sz w:val="20"/>
                <w:szCs w:val="20"/>
              </w:rPr>
            </w:pPr>
            <w:r w:rsidRPr="00324820">
              <w:rPr>
                <w:rFonts w:cs="Arial"/>
                <w:sz w:val="20"/>
                <w:szCs w:val="20"/>
              </w:rPr>
              <w:t>Godišnji izvještaj o izvršenju državnog proračuna</w:t>
            </w:r>
          </w:p>
        </w:tc>
        <w:tc>
          <w:tcPr>
            <w:tcW w:w="1842" w:type="dxa"/>
            <w:shd w:val="clear" w:color="auto" w:fill="D9D9D9" w:themeFill="background1" w:themeFillShade="D9"/>
            <w:vAlign w:val="center"/>
            <w:hideMark/>
          </w:tcPr>
          <w:p w14:paraId="5C061148" w14:textId="77777777" w:rsidR="00D02C62" w:rsidRPr="00324820" w:rsidRDefault="00D02C62" w:rsidP="00E275AD">
            <w:pPr>
              <w:jc w:val="center"/>
              <w:rPr>
                <w:rFonts w:cs="Arial"/>
                <w:sz w:val="20"/>
                <w:szCs w:val="20"/>
              </w:rPr>
            </w:pPr>
            <w:r w:rsidRPr="00324820">
              <w:rPr>
                <w:rFonts w:cs="Arial"/>
                <w:sz w:val="20"/>
                <w:szCs w:val="20"/>
              </w:rPr>
              <w:t>uvjetno</w:t>
            </w:r>
          </w:p>
        </w:tc>
        <w:tc>
          <w:tcPr>
            <w:tcW w:w="1843" w:type="dxa"/>
            <w:shd w:val="clear" w:color="auto" w:fill="D9D9D9" w:themeFill="background1" w:themeFillShade="D9"/>
            <w:vAlign w:val="center"/>
            <w:hideMark/>
          </w:tcPr>
          <w:p w14:paraId="6FD1D44A" w14:textId="77777777" w:rsidR="00D02C62" w:rsidRPr="00324820" w:rsidRDefault="00D02C62" w:rsidP="00E275AD">
            <w:pPr>
              <w:jc w:val="center"/>
              <w:rPr>
                <w:rFonts w:cs="Arial"/>
                <w:sz w:val="20"/>
                <w:szCs w:val="20"/>
              </w:rPr>
            </w:pPr>
            <w:r w:rsidRPr="00324820">
              <w:rPr>
                <w:rFonts w:cs="Arial"/>
                <w:sz w:val="20"/>
                <w:szCs w:val="20"/>
              </w:rPr>
              <w:t>-</w:t>
            </w:r>
          </w:p>
        </w:tc>
      </w:tr>
      <w:tr w:rsidR="00D02C62" w:rsidRPr="00324820" w14:paraId="37DE113F" w14:textId="77777777" w:rsidTr="001F3738">
        <w:trPr>
          <w:trHeight w:val="288"/>
          <w:jc w:val="center"/>
        </w:trPr>
        <w:tc>
          <w:tcPr>
            <w:tcW w:w="9776" w:type="dxa"/>
            <w:gridSpan w:val="4"/>
            <w:shd w:val="clear" w:color="auto" w:fill="D9D9D9" w:themeFill="background1" w:themeFillShade="D9"/>
            <w:vAlign w:val="center"/>
            <w:hideMark/>
          </w:tcPr>
          <w:p w14:paraId="66391B6D" w14:textId="77777777" w:rsidR="00D02C62" w:rsidRPr="00324820" w:rsidRDefault="00820BCA" w:rsidP="00E275AD">
            <w:pPr>
              <w:jc w:val="left"/>
              <w:rPr>
                <w:rFonts w:cs="Arial"/>
                <w:b/>
                <w:sz w:val="20"/>
                <w:szCs w:val="20"/>
              </w:rPr>
            </w:pPr>
            <w:r>
              <w:rPr>
                <w:rFonts w:cs="Arial"/>
                <w:b/>
                <w:sz w:val="20"/>
                <w:szCs w:val="20"/>
              </w:rPr>
              <w:t xml:space="preserve">         </w:t>
            </w:r>
            <w:r w:rsidR="00D02C62" w:rsidRPr="00324820">
              <w:rPr>
                <w:rFonts w:cs="Arial"/>
                <w:b/>
                <w:sz w:val="20"/>
                <w:szCs w:val="20"/>
              </w:rPr>
              <w:t>Korisnici državnog proračuna</w:t>
            </w:r>
          </w:p>
        </w:tc>
      </w:tr>
      <w:tr w:rsidR="008713E7" w:rsidRPr="00324820" w14:paraId="65D77D39" w14:textId="77777777" w:rsidTr="008713E7">
        <w:trPr>
          <w:trHeight w:val="288"/>
          <w:jc w:val="center"/>
        </w:trPr>
        <w:tc>
          <w:tcPr>
            <w:tcW w:w="9776" w:type="dxa"/>
            <w:gridSpan w:val="4"/>
            <w:shd w:val="clear" w:color="auto" w:fill="FFFFFF" w:themeFill="background1"/>
            <w:vAlign w:val="center"/>
          </w:tcPr>
          <w:p w14:paraId="7544A76A" w14:textId="3E86C6B6" w:rsidR="008713E7" w:rsidRDefault="008713E7" w:rsidP="00E275AD">
            <w:pPr>
              <w:jc w:val="left"/>
              <w:rPr>
                <w:rFonts w:cs="Arial"/>
                <w:b/>
                <w:sz w:val="20"/>
                <w:szCs w:val="20"/>
              </w:rPr>
            </w:pPr>
            <w:r>
              <w:rPr>
                <w:rFonts w:cs="Arial"/>
                <w:b/>
                <w:sz w:val="20"/>
                <w:szCs w:val="20"/>
              </w:rPr>
              <w:t xml:space="preserve">         Proračunski korisnici </w:t>
            </w:r>
          </w:p>
        </w:tc>
      </w:tr>
      <w:tr w:rsidR="00D02C62" w:rsidRPr="00324820" w14:paraId="791E5C35" w14:textId="77777777" w:rsidTr="001F3738">
        <w:trPr>
          <w:trHeight w:val="288"/>
          <w:jc w:val="center"/>
        </w:trPr>
        <w:tc>
          <w:tcPr>
            <w:tcW w:w="495" w:type="dxa"/>
            <w:vAlign w:val="center"/>
            <w:hideMark/>
          </w:tcPr>
          <w:p w14:paraId="5D485FE6" w14:textId="3F7DE041" w:rsidR="00D02C62" w:rsidRPr="00324820" w:rsidRDefault="008713E7" w:rsidP="00E275AD">
            <w:pPr>
              <w:rPr>
                <w:rFonts w:cs="Arial"/>
                <w:sz w:val="20"/>
                <w:szCs w:val="20"/>
              </w:rPr>
            </w:pPr>
            <w:r>
              <w:rPr>
                <w:rFonts w:cs="Arial"/>
                <w:sz w:val="20"/>
                <w:szCs w:val="20"/>
              </w:rPr>
              <w:t xml:space="preserve">1.   </w:t>
            </w:r>
          </w:p>
        </w:tc>
        <w:tc>
          <w:tcPr>
            <w:tcW w:w="5596" w:type="dxa"/>
            <w:vAlign w:val="center"/>
            <w:hideMark/>
          </w:tcPr>
          <w:p w14:paraId="3C93D55E" w14:textId="77777777" w:rsidR="00D02C62" w:rsidRPr="00324820" w:rsidRDefault="00D02C62" w:rsidP="00E275AD">
            <w:pPr>
              <w:rPr>
                <w:rFonts w:cs="Arial"/>
                <w:sz w:val="20"/>
                <w:szCs w:val="20"/>
              </w:rPr>
            </w:pPr>
            <w:r w:rsidRPr="00324820">
              <w:rPr>
                <w:rFonts w:cs="Arial"/>
                <w:sz w:val="20"/>
                <w:szCs w:val="20"/>
              </w:rPr>
              <w:t>Agencija za odgoj i obrazovanje, Zagreb</w:t>
            </w:r>
          </w:p>
        </w:tc>
        <w:tc>
          <w:tcPr>
            <w:tcW w:w="1842" w:type="dxa"/>
            <w:vAlign w:val="center"/>
            <w:hideMark/>
          </w:tcPr>
          <w:p w14:paraId="0E6D56AF" w14:textId="77777777" w:rsidR="00D02C62" w:rsidRPr="00324820" w:rsidRDefault="00D02C62" w:rsidP="00E275AD">
            <w:pPr>
              <w:jc w:val="center"/>
              <w:rPr>
                <w:rFonts w:cs="Arial"/>
                <w:sz w:val="20"/>
                <w:szCs w:val="20"/>
              </w:rPr>
            </w:pPr>
            <w:r w:rsidRPr="00324820">
              <w:rPr>
                <w:rFonts w:cs="Arial"/>
                <w:sz w:val="20"/>
                <w:szCs w:val="20"/>
              </w:rPr>
              <w:t>uvjetno</w:t>
            </w:r>
          </w:p>
        </w:tc>
        <w:tc>
          <w:tcPr>
            <w:tcW w:w="1843" w:type="dxa"/>
            <w:vAlign w:val="center"/>
            <w:hideMark/>
          </w:tcPr>
          <w:p w14:paraId="13A341C2" w14:textId="77777777" w:rsidR="00D02C62" w:rsidRPr="00324820" w:rsidRDefault="00D02C62" w:rsidP="00E275AD">
            <w:pPr>
              <w:jc w:val="center"/>
              <w:rPr>
                <w:rFonts w:cs="Arial"/>
                <w:sz w:val="20"/>
                <w:szCs w:val="20"/>
              </w:rPr>
            </w:pPr>
            <w:r w:rsidRPr="00324820">
              <w:rPr>
                <w:rFonts w:cs="Arial"/>
                <w:sz w:val="20"/>
                <w:szCs w:val="20"/>
              </w:rPr>
              <w:t>bezuvjetno</w:t>
            </w:r>
          </w:p>
        </w:tc>
      </w:tr>
      <w:tr w:rsidR="00D02C62" w:rsidRPr="00324820" w14:paraId="110D3B52" w14:textId="77777777" w:rsidTr="001F3738">
        <w:trPr>
          <w:trHeight w:val="288"/>
          <w:jc w:val="center"/>
        </w:trPr>
        <w:tc>
          <w:tcPr>
            <w:tcW w:w="495" w:type="dxa"/>
            <w:vAlign w:val="center"/>
            <w:hideMark/>
          </w:tcPr>
          <w:p w14:paraId="1CC447F4" w14:textId="77777777" w:rsidR="00D02C62" w:rsidRPr="00324820" w:rsidRDefault="00D02C62" w:rsidP="00E275AD">
            <w:pPr>
              <w:rPr>
                <w:rFonts w:cs="Arial"/>
                <w:sz w:val="20"/>
                <w:szCs w:val="20"/>
              </w:rPr>
            </w:pPr>
            <w:r w:rsidRPr="00324820">
              <w:rPr>
                <w:rFonts w:cs="Arial"/>
                <w:sz w:val="20"/>
                <w:szCs w:val="20"/>
              </w:rPr>
              <w:t>2.</w:t>
            </w:r>
          </w:p>
        </w:tc>
        <w:tc>
          <w:tcPr>
            <w:tcW w:w="5596" w:type="dxa"/>
            <w:vAlign w:val="center"/>
            <w:hideMark/>
          </w:tcPr>
          <w:p w14:paraId="3109284B" w14:textId="77777777" w:rsidR="00D02C62" w:rsidRPr="00324820" w:rsidRDefault="00D02C62" w:rsidP="00E275AD">
            <w:pPr>
              <w:rPr>
                <w:rFonts w:cs="Arial"/>
                <w:sz w:val="20"/>
                <w:szCs w:val="20"/>
              </w:rPr>
            </w:pPr>
            <w:r w:rsidRPr="00324820">
              <w:rPr>
                <w:rFonts w:cs="Arial"/>
                <w:sz w:val="20"/>
                <w:szCs w:val="20"/>
              </w:rPr>
              <w:t>Agencija za plaćanja u poljoprivredi, ribarstvu i ruralnom razvoju, Zagreb</w:t>
            </w:r>
          </w:p>
        </w:tc>
        <w:tc>
          <w:tcPr>
            <w:tcW w:w="1842" w:type="dxa"/>
            <w:vAlign w:val="center"/>
            <w:hideMark/>
          </w:tcPr>
          <w:p w14:paraId="475B981E" w14:textId="77777777" w:rsidR="00D02C62" w:rsidRPr="00324820" w:rsidRDefault="00D02C62" w:rsidP="00E275AD">
            <w:pPr>
              <w:jc w:val="center"/>
              <w:rPr>
                <w:rFonts w:cs="Arial"/>
                <w:sz w:val="20"/>
                <w:szCs w:val="20"/>
              </w:rPr>
            </w:pPr>
            <w:r w:rsidRPr="00324820">
              <w:rPr>
                <w:rFonts w:cs="Arial"/>
                <w:sz w:val="20"/>
                <w:szCs w:val="20"/>
              </w:rPr>
              <w:t>uvjetno</w:t>
            </w:r>
          </w:p>
        </w:tc>
        <w:tc>
          <w:tcPr>
            <w:tcW w:w="1843" w:type="dxa"/>
            <w:vAlign w:val="center"/>
            <w:hideMark/>
          </w:tcPr>
          <w:p w14:paraId="1FE78CB2" w14:textId="77777777" w:rsidR="00D02C62" w:rsidRPr="00324820" w:rsidRDefault="00D02C62" w:rsidP="00E275AD">
            <w:pPr>
              <w:jc w:val="center"/>
              <w:rPr>
                <w:rFonts w:cs="Arial"/>
                <w:sz w:val="20"/>
                <w:szCs w:val="20"/>
              </w:rPr>
            </w:pPr>
            <w:r w:rsidRPr="00324820">
              <w:rPr>
                <w:rFonts w:cs="Arial"/>
                <w:sz w:val="20"/>
                <w:szCs w:val="20"/>
              </w:rPr>
              <w:t>uvjetno</w:t>
            </w:r>
          </w:p>
        </w:tc>
      </w:tr>
      <w:tr w:rsidR="00D02C62" w:rsidRPr="00324820" w14:paraId="46DA325D" w14:textId="77777777" w:rsidTr="001F3738">
        <w:trPr>
          <w:trHeight w:val="288"/>
          <w:jc w:val="center"/>
        </w:trPr>
        <w:tc>
          <w:tcPr>
            <w:tcW w:w="495" w:type="dxa"/>
            <w:vAlign w:val="center"/>
            <w:hideMark/>
          </w:tcPr>
          <w:p w14:paraId="43A9642C" w14:textId="77777777" w:rsidR="00D02C62" w:rsidRPr="00324820" w:rsidRDefault="00D02C62" w:rsidP="00E275AD">
            <w:pPr>
              <w:rPr>
                <w:rFonts w:cs="Arial"/>
                <w:sz w:val="20"/>
                <w:szCs w:val="20"/>
              </w:rPr>
            </w:pPr>
            <w:r w:rsidRPr="00324820">
              <w:rPr>
                <w:rFonts w:cs="Arial"/>
                <w:sz w:val="20"/>
                <w:szCs w:val="20"/>
              </w:rPr>
              <w:t>3.</w:t>
            </w:r>
          </w:p>
        </w:tc>
        <w:tc>
          <w:tcPr>
            <w:tcW w:w="5596" w:type="dxa"/>
            <w:vAlign w:val="center"/>
            <w:hideMark/>
          </w:tcPr>
          <w:p w14:paraId="5474CC57" w14:textId="77777777" w:rsidR="00D02C62" w:rsidRPr="00324820" w:rsidRDefault="00D02C62" w:rsidP="00E275AD">
            <w:pPr>
              <w:rPr>
                <w:rFonts w:cs="Arial"/>
                <w:sz w:val="20"/>
                <w:szCs w:val="20"/>
              </w:rPr>
            </w:pPr>
            <w:r w:rsidRPr="00324820">
              <w:rPr>
                <w:rFonts w:cs="Arial"/>
                <w:sz w:val="20"/>
                <w:szCs w:val="20"/>
              </w:rPr>
              <w:t>Agencija za pravni promet i posredovanje nekretninama, Zagreb</w:t>
            </w:r>
          </w:p>
        </w:tc>
        <w:tc>
          <w:tcPr>
            <w:tcW w:w="1842" w:type="dxa"/>
            <w:vAlign w:val="center"/>
            <w:hideMark/>
          </w:tcPr>
          <w:p w14:paraId="1FD01613" w14:textId="77777777" w:rsidR="00D02C62" w:rsidRPr="00324820" w:rsidRDefault="00D02C62" w:rsidP="00E275AD">
            <w:pPr>
              <w:jc w:val="center"/>
              <w:rPr>
                <w:rFonts w:cs="Arial"/>
                <w:sz w:val="20"/>
                <w:szCs w:val="20"/>
              </w:rPr>
            </w:pPr>
            <w:r w:rsidRPr="00324820">
              <w:rPr>
                <w:rFonts w:cs="Arial"/>
                <w:sz w:val="20"/>
                <w:szCs w:val="20"/>
              </w:rPr>
              <w:t>uvjetno</w:t>
            </w:r>
          </w:p>
        </w:tc>
        <w:tc>
          <w:tcPr>
            <w:tcW w:w="1843" w:type="dxa"/>
            <w:vAlign w:val="center"/>
            <w:hideMark/>
          </w:tcPr>
          <w:p w14:paraId="0CEBA308" w14:textId="77777777" w:rsidR="00D02C62" w:rsidRPr="00324820" w:rsidRDefault="00D02C62" w:rsidP="00E275AD">
            <w:pPr>
              <w:jc w:val="center"/>
              <w:rPr>
                <w:rFonts w:cs="Arial"/>
                <w:sz w:val="20"/>
                <w:szCs w:val="20"/>
              </w:rPr>
            </w:pPr>
            <w:r w:rsidRPr="00324820">
              <w:rPr>
                <w:rFonts w:cs="Arial"/>
                <w:sz w:val="20"/>
                <w:szCs w:val="20"/>
              </w:rPr>
              <w:t>uvjetno</w:t>
            </w:r>
          </w:p>
        </w:tc>
      </w:tr>
      <w:tr w:rsidR="00D02C62" w:rsidRPr="00324820" w14:paraId="2D524E89" w14:textId="77777777" w:rsidTr="001F3738">
        <w:trPr>
          <w:trHeight w:val="288"/>
          <w:jc w:val="center"/>
        </w:trPr>
        <w:tc>
          <w:tcPr>
            <w:tcW w:w="495" w:type="dxa"/>
            <w:vAlign w:val="center"/>
            <w:hideMark/>
          </w:tcPr>
          <w:p w14:paraId="3BCAE610" w14:textId="77777777" w:rsidR="00D02C62" w:rsidRPr="00324820" w:rsidRDefault="00D02C62" w:rsidP="00E275AD">
            <w:pPr>
              <w:rPr>
                <w:rFonts w:cs="Arial"/>
                <w:sz w:val="20"/>
                <w:szCs w:val="20"/>
              </w:rPr>
            </w:pPr>
            <w:r w:rsidRPr="00324820">
              <w:rPr>
                <w:rFonts w:cs="Arial"/>
                <w:sz w:val="20"/>
                <w:szCs w:val="20"/>
              </w:rPr>
              <w:t>4.</w:t>
            </w:r>
          </w:p>
        </w:tc>
        <w:tc>
          <w:tcPr>
            <w:tcW w:w="5596" w:type="dxa"/>
            <w:vAlign w:val="center"/>
            <w:hideMark/>
          </w:tcPr>
          <w:p w14:paraId="71E8CA34" w14:textId="77777777" w:rsidR="00D02C62" w:rsidRPr="00324820" w:rsidRDefault="00D02C62" w:rsidP="00E275AD">
            <w:pPr>
              <w:rPr>
                <w:rFonts w:cs="Arial"/>
                <w:sz w:val="20"/>
                <w:szCs w:val="20"/>
              </w:rPr>
            </w:pPr>
            <w:r w:rsidRPr="00324820">
              <w:rPr>
                <w:rFonts w:cs="Arial"/>
                <w:sz w:val="20"/>
                <w:szCs w:val="20"/>
              </w:rPr>
              <w:t>Ekonomski institut, Zagreb</w:t>
            </w:r>
          </w:p>
        </w:tc>
        <w:tc>
          <w:tcPr>
            <w:tcW w:w="1842" w:type="dxa"/>
            <w:vAlign w:val="center"/>
            <w:hideMark/>
          </w:tcPr>
          <w:p w14:paraId="0AA2174B" w14:textId="77777777" w:rsidR="00D02C62" w:rsidRPr="00324820" w:rsidRDefault="00D02C62" w:rsidP="00E275AD">
            <w:pPr>
              <w:jc w:val="center"/>
              <w:rPr>
                <w:rFonts w:cs="Arial"/>
                <w:sz w:val="20"/>
                <w:szCs w:val="20"/>
              </w:rPr>
            </w:pPr>
            <w:r w:rsidRPr="00324820">
              <w:rPr>
                <w:rFonts w:cs="Arial"/>
                <w:sz w:val="20"/>
                <w:szCs w:val="20"/>
              </w:rPr>
              <w:t>bezuvjetno</w:t>
            </w:r>
          </w:p>
        </w:tc>
        <w:tc>
          <w:tcPr>
            <w:tcW w:w="1843" w:type="dxa"/>
            <w:vAlign w:val="center"/>
            <w:hideMark/>
          </w:tcPr>
          <w:p w14:paraId="07644907" w14:textId="77777777" w:rsidR="00D02C62" w:rsidRPr="00324820" w:rsidRDefault="00D02C62" w:rsidP="00E275AD">
            <w:pPr>
              <w:jc w:val="center"/>
              <w:rPr>
                <w:rFonts w:cs="Arial"/>
                <w:sz w:val="20"/>
                <w:szCs w:val="20"/>
              </w:rPr>
            </w:pPr>
            <w:r w:rsidRPr="00324820">
              <w:rPr>
                <w:rFonts w:cs="Arial"/>
                <w:sz w:val="20"/>
                <w:szCs w:val="20"/>
              </w:rPr>
              <w:t>bezuvjetno</w:t>
            </w:r>
          </w:p>
        </w:tc>
      </w:tr>
      <w:tr w:rsidR="00D02C62" w:rsidRPr="00324820" w14:paraId="5659979F" w14:textId="77777777" w:rsidTr="001F3738">
        <w:trPr>
          <w:trHeight w:val="288"/>
          <w:jc w:val="center"/>
        </w:trPr>
        <w:tc>
          <w:tcPr>
            <w:tcW w:w="495" w:type="dxa"/>
            <w:vAlign w:val="center"/>
            <w:hideMark/>
          </w:tcPr>
          <w:p w14:paraId="499BB210" w14:textId="77777777" w:rsidR="00D02C62" w:rsidRPr="00324820" w:rsidRDefault="00D02C62" w:rsidP="00E275AD">
            <w:pPr>
              <w:rPr>
                <w:rFonts w:cs="Arial"/>
                <w:sz w:val="20"/>
                <w:szCs w:val="20"/>
              </w:rPr>
            </w:pPr>
            <w:r w:rsidRPr="00324820">
              <w:rPr>
                <w:rFonts w:cs="Arial"/>
                <w:sz w:val="20"/>
                <w:szCs w:val="20"/>
              </w:rPr>
              <w:t>5.</w:t>
            </w:r>
          </w:p>
        </w:tc>
        <w:tc>
          <w:tcPr>
            <w:tcW w:w="5596" w:type="dxa"/>
            <w:vAlign w:val="center"/>
            <w:hideMark/>
          </w:tcPr>
          <w:p w14:paraId="750AF6E9" w14:textId="77777777" w:rsidR="00D02C62" w:rsidRPr="00324820" w:rsidRDefault="00D02C62" w:rsidP="00E275AD">
            <w:pPr>
              <w:rPr>
                <w:rFonts w:cs="Arial"/>
                <w:sz w:val="20"/>
                <w:szCs w:val="20"/>
              </w:rPr>
            </w:pPr>
            <w:r w:rsidRPr="00324820">
              <w:rPr>
                <w:rFonts w:cs="Arial"/>
                <w:sz w:val="20"/>
                <w:szCs w:val="20"/>
              </w:rPr>
              <w:t>Hrvatska akademija znanosti i umjetnosti</w:t>
            </w:r>
          </w:p>
        </w:tc>
        <w:tc>
          <w:tcPr>
            <w:tcW w:w="1842" w:type="dxa"/>
            <w:vAlign w:val="center"/>
            <w:hideMark/>
          </w:tcPr>
          <w:p w14:paraId="40AF4673" w14:textId="77777777" w:rsidR="00D02C62" w:rsidRPr="00324820" w:rsidRDefault="00D02C62" w:rsidP="00E275AD">
            <w:pPr>
              <w:jc w:val="center"/>
              <w:rPr>
                <w:rFonts w:cs="Arial"/>
                <w:sz w:val="20"/>
                <w:szCs w:val="20"/>
              </w:rPr>
            </w:pPr>
            <w:r w:rsidRPr="00324820">
              <w:rPr>
                <w:rFonts w:cs="Arial"/>
                <w:sz w:val="20"/>
                <w:szCs w:val="20"/>
              </w:rPr>
              <w:t>uvjetno</w:t>
            </w:r>
          </w:p>
        </w:tc>
        <w:tc>
          <w:tcPr>
            <w:tcW w:w="1843" w:type="dxa"/>
            <w:vAlign w:val="center"/>
            <w:hideMark/>
          </w:tcPr>
          <w:p w14:paraId="1F2E82B8" w14:textId="77777777" w:rsidR="00D02C62" w:rsidRPr="00324820" w:rsidRDefault="00D02C62" w:rsidP="00E275AD">
            <w:pPr>
              <w:jc w:val="center"/>
              <w:rPr>
                <w:rFonts w:cs="Arial"/>
                <w:sz w:val="20"/>
                <w:szCs w:val="20"/>
              </w:rPr>
            </w:pPr>
            <w:r w:rsidRPr="00324820">
              <w:rPr>
                <w:rFonts w:cs="Arial"/>
                <w:sz w:val="20"/>
                <w:szCs w:val="20"/>
              </w:rPr>
              <w:t>uvjetno</w:t>
            </w:r>
          </w:p>
        </w:tc>
      </w:tr>
      <w:tr w:rsidR="00D02C62" w:rsidRPr="00324820" w14:paraId="066B40D3" w14:textId="77777777" w:rsidTr="001F3738">
        <w:trPr>
          <w:trHeight w:val="288"/>
          <w:jc w:val="center"/>
        </w:trPr>
        <w:tc>
          <w:tcPr>
            <w:tcW w:w="495" w:type="dxa"/>
            <w:vAlign w:val="center"/>
            <w:hideMark/>
          </w:tcPr>
          <w:p w14:paraId="461A933E" w14:textId="77777777" w:rsidR="00D02C62" w:rsidRPr="00324820" w:rsidRDefault="00D02C62" w:rsidP="00E275AD">
            <w:pPr>
              <w:rPr>
                <w:rFonts w:cs="Arial"/>
                <w:sz w:val="20"/>
                <w:szCs w:val="20"/>
              </w:rPr>
            </w:pPr>
            <w:r w:rsidRPr="00324820">
              <w:rPr>
                <w:rFonts w:cs="Arial"/>
                <w:sz w:val="20"/>
                <w:szCs w:val="20"/>
              </w:rPr>
              <w:t>6.</w:t>
            </w:r>
          </w:p>
        </w:tc>
        <w:tc>
          <w:tcPr>
            <w:tcW w:w="5596" w:type="dxa"/>
            <w:vAlign w:val="center"/>
            <w:hideMark/>
          </w:tcPr>
          <w:p w14:paraId="048F7B42" w14:textId="77777777" w:rsidR="00D02C62" w:rsidRPr="00324820" w:rsidRDefault="00D02C62" w:rsidP="00E275AD">
            <w:pPr>
              <w:rPr>
                <w:rFonts w:cs="Arial"/>
                <w:sz w:val="20"/>
                <w:szCs w:val="20"/>
              </w:rPr>
            </w:pPr>
            <w:r w:rsidRPr="00324820">
              <w:rPr>
                <w:rFonts w:cs="Arial"/>
                <w:sz w:val="20"/>
                <w:szCs w:val="20"/>
              </w:rPr>
              <w:t>Hrvatski veterinarski institut</w:t>
            </w:r>
          </w:p>
        </w:tc>
        <w:tc>
          <w:tcPr>
            <w:tcW w:w="1842" w:type="dxa"/>
            <w:vAlign w:val="center"/>
            <w:hideMark/>
          </w:tcPr>
          <w:p w14:paraId="0F783C44" w14:textId="77777777" w:rsidR="00D02C62" w:rsidRPr="00324820" w:rsidRDefault="00D02C62" w:rsidP="00E275AD">
            <w:pPr>
              <w:jc w:val="center"/>
              <w:rPr>
                <w:rFonts w:cs="Arial"/>
                <w:sz w:val="20"/>
                <w:szCs w:val="20"/>
              </w:rPr>
            </w:pPr>
            <w:r w:rsidRPr="00324820">
              <w:rPr>
                <w:rFonts w:cs="Arial"/>
                <w:sz w:val="20"/>
                <w:szCs w:val="20"/>
              </w:rPr>
              <w:t>uvjetno</w:t>
            </w:r>
          </w:p>
        </w:tc>
        <w:tc>
          <w:tcPr>
            <w:tcW w:w="1843" w:type="dxa"/>
            <w:vAlign w:val="center"/>
            <w:hideMark/>
          </w:tcPr>
          <w:p w14:paraId="12ACB367" w14:textId="77777777" w:rsidR="00D02C62" w:rsidRPr="00324820" w:rsidRDefault="00D02C62" w:rsidP="00E275AD">
            <w:pPr>
              <w:jc w:val="center"/>
              <w:rPr>
                <w:rFonts w:cs="Arial"/>
                <w:sz w:val="20"/>
                <w:szCs w:val="20"/>
              </w:rPr>
            </w:pPr>
            <w:r w:rsidRPr="00324820">
              <w:rPr>
                <w:rFonts w:cs="Arial"/>
                <w:sz w:val="20"/>
                <w:szCs w:val="20"/>
              </w:rPr>
              <w:t>uvjetno</w:t>
            </w:r>
          </w:p>
        </w:tc>
      </w:tr>
      <w:tr w:rsidR="008713E7" w:rsidRPr="00324820" w14:paraId="2A37E362" w14:textId="77777777" w:rsidTr="008713E7">
        <w:trPr>
          <w:trHeight w:val="288"/>
          <w:jc w:val="center"/>
        </w:trPr>
        <w:tc>
          <w:tcPr>
            <w:tcW w:w="495" w:type="dxa"/>
            <w:vAlign w:val="center"/>
            <w:hideMark/>
          </w:tcPr>
          <w:p w14:paraId="5BA2A04A" w14:textId="77777777" w:rsidR="008713E7" w:rsidRPr="00324820" w:rsidRDefault="008713E7" w:rsidP="008713E7">
            <w:pPr>
              <w:rPr>
                <w:rFonts w:cs="Arial"/>
                <w:sz w:val="20"/>
                <w:szCs w:val="20"/>
              </w:rPr>
            </w:pPr>
            <w:r w:rsidRPr="00324820">
              <w:rPr>
                <w:rFonts w:cs="Arial"/>
                <w:sz w:val="20"/>
                <w:szCs w:val="20"/>
              </w:rPr>
              <w:t>7.</w:t>
            </w:r>
          </w:p>
        </w:tc>
        <w:tc>
          <w:tcPr>
            <w:tcW w:w="5596" w:type="dxa"/>
            <w:vAlign w:val="center"/>
          </w:tcPr>
          <w:p w14:paraId="08EC1539" w14:textId="1137F3DC" w:rsidR="008713E7" w:rsidRPr="00324820" w:rsidRDefault="008713E7" w:rsidP="008713E7">
            <w:pPr>
              <w:rPr>
                <w:rFonts w:cs="Arial"/>
                <w:sz w:val="20"/>
                <w:szCs w:val="20"/>
              </w:rPr>
            </w:pPr>
            <w:r w:rsidRPr="00324820">
              <w:rPr>
                <w:rFonts w:cs="Arial"/>
                <w:sz w:val="20"/>
                <w:szCs w:val="20"/>
              </w:rPr>
              <w:t>Hrvatski zavod za socijalni rad</w:t>
            </w:r>
          </w:p>
        </w:tc>
        <w:tc>
          <w:tcPr>
            <w:tcW w:w="1842" w:type="dxa"/>
            <w:vAlign w:val="center"/>
          </w:tcPr>
          <w:p w14:paraId="63F6D31E" w14:textId="2A92EC41"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tcPr>
          <w:p w14:paraId="0F0E1492" w14:textId="617E4F54"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25B43CA5" w14:textId="77777777" w:rsidTr="008713E7">
        <w:trPr>
          <w:trHeight w:val="288"/>
          <w:jc w:val="center"/>
        </w:trPr>
        <w:tc>
          <w:tcPr>
            <w:tcW w:w="495" w:type="dxa"/>
            <w:vAlign w:val="center"/>
            <w:hideMark/>
          </w:tcPr>
          <w:p w14:paraId="3D1ADEE0" w14:textId="77777777" w:rsidR="008713E7" w:rsidRPr="00324820" w:rsidRDefault="008713E7" w:rsidP="008713E7">
            <w:pPr>
              <w:rPr>
                <w:rFonts w:cs="Arial"/>
                <w:sz w:val="20"/>
                <w:szCs w:val="20"/>
              </w:rPr>
            </w:pPr>
            <w:r w:rsidRPr="00324820">
              <w:rPr>
                <w:rFonts w:cs="Arial"/>
                <w:sz w:val="20"/>
                <w:szCs w:val="20"/>
              </w:rPr>
              <w:t>8.</w:t>
            </w:r>
          </w:p>
        </w:tc>
        <w:tc>
          <w:tcPr>
            <w:tcW w:w="5596" w:type="dxa"/>
            <w:vAlign w:val="center"/>
          </w:tcPr>
          <w:p w14:paraId="4AE4FAA9" w14:textId="45B641ED" w:rsidR="008713E7" w:rsidRPr="00324820" w:rsidRDefault="008713E7" w:rsidP="008713E7">
            <w:pPr>
              <w:rPr>
                <w:rFonts w:cs="Arial"/>
                <w:sz w:val="20"/>
                <w:szCs w:val="20"/>
              </w:rPr>
            </w:pPr>
            <w:r w:rsidRPr="00324820">
              <w:rPr>
                <w:rFonts w:cs="Arial"/>
                <w:sz w:val="20"/>
                <w:szCs w:val="20"/>
              </w:rPr>
              <w:t>Hrvatski zavod za transfuzijsku medicinu</w:t>
            </w:r>
          </w:p>
        </w:tc>
        <w:tc>
          <w:tcPr>
            <w:tcW w:w="1842" w:type="dxa"/>
            <w:vAlign w:val="center"/>
          </w:tcPr>
          <w:p w14:paraId="4D710394" w14:textId="7C0BF6F6"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tcPr>
          <w:p w14:paraId="03A32AF9" w14:textId="720E41B6"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4E85CEDE" w14:textId="77777777" w:rsidTr="008713E7">
        <w:trPr>
          <w:trHeight w:val="288"/>
          <w:jc w:val="center"/>
        </w:trPr>
        <w:tc>
          <w:tcPr>
            <w:tcW w:w="495" w:type="dxa"/>
            <w:vAlign w:val="center"/>
            <w:hideMark/>
          </w:tcPr>
          <w:p w14:paraId="0E874389" w14:textId="77777777" w:rsidR="008713E7" w:rsidRPr="00324820" w:rsidRDefault="008713E7" w:rsidP="008713E7">
            <w:pPr>
              <w:rPr>
                <w:rFonts w:cs="Arial"/>
                <w:sz w:val="20"/>
                <w:szCs w:val="20"/>
              </w:rPr>
            </w:pPr>
            <w:r w:rsidRPr="00324820">
              <w:rPr>
                <w:rFonts w:cs="Arial"/>
                <w:sz w:val="20"/>
                <w:szCs w:val="20"/>
              </w:rPr>
              <w:t>9.</w:t>
            </w:r>
          </w:p>
        </w:tc>
        <w:tc>
          <w:tcPr>
            <w:tcW w:w="5596" w:type="dxa"/>
            <w:vAlign w:val="center"/>
          </w:tcPr>
          <w:p w14:paraId="76369E15" w14:textId="27FBD72F" w:rsidR="008713E7" w:rsidRPr="00324820" w:rsidRDefault="008713E7" w:rsidP="008713E7">
            <w:pPr>
              <w:rPr>
                <w:rFonts w:cs="Arial"/>
                <w:sz w:val="20"/>
                <w:szCs w:val="20"/>
              </w:rPr>
            </w:pPr>
            <w:r w:rsidRPr="00324820">
              <w:rPr>
                <w:rFonts w:cs="Arial"/>
                <w:sz w:val="20"/>
                <w:szCs w:val="20"/>
              </w:rPr>
              <w:t>Institut Ruđer Bošković, Zagreb</w:t>
            </w:r>
          </w:p>
        </w:tc>
        <w:tc>
          <w:tcPr>
            <w:tcW w:w="1842" w:type="dxa"/>
            <w:vAlign w:val="center"/>
          </w:tcPr>
          <w:p w14:paraId="285B7820" w14:textId="037AE77E"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tcPr>
          <w:p w14:paraId="581C3E10" w14:textId="1D0F6FD8"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540199F9" w14:textId="77777777" w:rsidTr="008713E7">
        <w:trPr>
          <w:trHeight w:val="288"/>
          <w:jc w:val="center"/>
        </w:trPr>
        <w:tc>
          <w:tcPr>
            <w:tcW w:w="495" w:type="dxa"/>
            <w:vAlign w:val="center"/>
            <w:hideMark/>
          </w:tcPr>
          <w:p w14:paraId="7E5DF96E" w14:textId="77777777" w:rsidR="008713E7" w:rsidRPr="00324820" w:rsidRDefault="008713E7" w:rsidP="008713E7">
            <w:pPr>
              <w:rPr>
                <w:rFonts w:cs="Arial"/>
                <w:sz w:val="20"/>
                <w:szCs w:val="20"/>
              </w:rPr>
            </w:pPr>
            <w:r w:rsidRPr="00324820">
              <w:rPr>
                <w:rFonts w:cs="Arial"/>
                <w:sz w:val="20"/>
                <w:szCs w:val="20"/>
              </w:rPr>
              <w:t>10.</w:t>
            </w:r>
          </w:p>
        </w:tc>
        <w:tc>
          <w:tcPr>
            <w:tcW w:w="5596" w:type="dxa"/>
            <w:vAlign w:val="center"/>
          </w:tcPr>
          <w:p w14:paraId="7636E88B" w14:textId="7442653E" w:rsidR="008713E7" w:rsidRPr="00324820" w:rsidRDefault="008713E7" w:rsidP="008713E7">
            <w:pPr>
              <w:rPr>
                <w:rFonts w:cs="Arial"/>
                <w:sz w:val="20"/>
                <w:szCs w:val="20"/>
              </w:rPr>
            </w:pPr>
            <w:r w:rsidRPr="00324820">
              <w:rPr>
                <w:rFonts w:cs="Arial"/>
                <w:sz w:val="20"/>
                <w:szCs w:val="20"/>
              </w:rPr>
              <w:t>Ministarstvo financija, Carinska uprava</w:t>
            </w:r>
          </w:p>
        </w:tc>
        <w:tc>
          <w:tcPr>
            <w:tcW w:w="1842" w:type="dxa"/>
            <w:vAlign w:val="center"/>
          </w:tcPr>
          <w:p w14:paraId="338418CE" w14:textId="3232E912"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tcPr>
          <w:p w14:paraId="6DB8577F" w14:textId="66242098"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264913FB" w14:textId="77777777" w:rsidTr="008713E7">
        <w:trPr>
          <w:trHeight w:val="288"/>
          <w:jc w:val="center"/>
        </w:trPr>
        <w:tc>
          <w:tcPr>
            <w:tcW w:w="495" w:type="dxa"/>
            <w:vAlign w:val="center"/>
            <w:hideMark/>
          </w:tcPr>
          <w:p w14:paraId="5C7CC297" w14:textId="77777777" w:rsidR="008713E7" w:rsidRPr="00324820" w:rsidRDefault="008713E7" w:rsidP="008713E7">
            <w:pPr>
              <w:rPr>
                <w:rFonts w:cs="Arial"/>
                <w:sz w:val="20"/>
                <w:szCs w:val="20"/>
              </w:rPr>
            </w:pPr>
            <w:r w:rsidRPr="00324820">
              <w:rPr>
                <w:rFonts w:cs="Arial"/>
                <w:sz w:val="20"/>
                <w:szCs w:val="20"/>
              </w:rPr>
              <w:t>11.</w:t>
            </w:r>
          </w:p>
        </w:tc>
        <w:tc>
          <w:tcPr>
            <w:tcW w:w="5596" w:type="dxa"/>
            <w:vAlign w:val="center"/>
          </w:tcPr>
          <w:p w14:paraId="39421297" w14:textId="130344E2" w:rsidR="008713E7" w:rsidRPr="00324820" w:rsidRDefault="008713E7" w:rsidP="008713E7">
            <w:pPr>
              <w:rPr>
                <w:rFonts w:cs="Arial"/>
                <w:sz w:val="20"/>
                <w:szCs w:val="20"/>
              </w:rPr>
            </w:pPr>
            <w:r w:rsidRPr="00324820">
              <w:rPr>
                <w:rFonts w:cs="Arial"/>
                <w:sz w:val="20"/>
                <w:szCs w:val="20"/>
              </w:rPr>
              <w:t>Ministarstvo mora, prometa i infrastrukture</w:t>
            </w:r>
          </w:p>
        </w:tc>
        <w:tc>
          <w:tcPr>
            <w:tcW w:w="1842" w:type="dxa"/>
            <w:vAlign w:val="center"/>
          </w:tcPr>
          <w:p w14:paraId="36D00EBC" w14:textId="7F764786"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tcPr>
          <w:p w14:paraId="66D22101" w14:textId="77A2CD12"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2FA801B4" w14:textId="77777777" w:rsidTr="008713E7">
        <w:trPr>
          <w:trHeight w:val="288"/>
          <w:jc w:val="center"/>
        </w:trPr>
        <w:tc>
          <w:tcPr>
            <w:tcW w:w="495" w:type="dxa"/>
            <w:vAlign w:val="center"/>
            <w:hideMark/>
          </w:tcPr>
          <w:p w14:paraId="5C905E3F" w14:textId="77777777" w:rsidR="008713E7" w:rsidRPr="00324820" w:rsidRDefault="008713E7" w:rsidP="008713E7">
            <w:pPr>
              <w:rPr>
                <w:rFonts w:cs="Arial"/>
                <w:sz w:val="20"/>
                <w:szCs w:val="20"/>
              </w:rPr>
            </w:pPr>
            <w:r w:rsidRPr="00324820">
              <w:rPr>
                <w:rFonts w:cs="Arial"/>
                <w:sz w:val="20"/>
                <w:szCs w:val="20"/>
              </w:rPr>
              <w:t>12.</w:t>
            </w:r>
          </w:p>
        </w:tc>
        <w:tc>
          <w:tcPr>
            <w:tcW w:w="5596" w:type="dxa"/>
            <w:vAlign w:val="center"/>
          </w:tcPr>
          <w:p w14:paraId="297C7D77" w14:textId="3BA2333C" w:rsidR="008713E7" w:rsidRPr="00324820" w:rsidRDefault="008713E7" w:rsidP="008713E7">
            <w:pPr>
              <w:rPr>
                <w:rFonts w:cs="Arial"/>
                <w:sz w:val="20"/>
                <w:szCs w:val="20"/>
              </w:rPr>
            </w:pPr>
            <w:r w:rsidRPr="00324820">
              <w:rPr>
                <w:rFonts w:cs="Arial"/>
                <w:sz w:val="20"/>
                <w:szCs w:val="20"/>
              </w:rPr>
              <w:t>Ministarstvo poljoprivrede, šumarstva i ribarstva</w:t>
            </w:r>
          </w:p>
        </w:tc>
        <w:tc>
          <w:tcPr>
            <w:tcW w:w="1842" w:type="dxa"/>
            <w:vAlign w:val="center"/>
          </w:tcPr>
          <w:p w14:paraId="27E60B42" w14:textId="58945CD6"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tcPr>
          <w:p w14:paraId="3F4AB253" w14:textId="4EBA67FD"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68C53308" w14:textId="77777777" w:rsidTr="008713E7">
        <w:trPr>
          <w:trHeight w:val="288"/>
          <w:jc w:val="center"/>
        </w:trPr>
        <w:tc>
          <w:tcPr>
            <w:tcW w:w="495" w:type="dxa"/>
            <w:vAlign w:val="center"/>
            <w:hideMark/>
          </w:tcPr>
          <w:p w14:paraId="5B563147" w14:textId="77777777" w:rsidR="008713E7" w:rsidRPr="00324820" w:rsidRDefault="008713E7" w:rsidP="008713E7">
            <w:pPr>
              <w:rPr>
                <w:rFonts w:cs="Arial"/>
                <w:sz w:val="20"/>
                <w:szCs w:val="20"/>
              </w:rPr>
            </w:pPr>
            <w:r w:rsidRPr="00324820">
              <w:rPr>
                <w:rFonts w:cs="Arial"/>
                <w:sz w:val="20"/>
                <w:szCs w:val="20"/>
              </w:rPr>
              <w:t>13.</w:t>
            </w:r>
          </w:p>
        </w:tc>
        <w:tc>
          <w:tcPr>
            <w:tcW w:w="5596" w:type="dxa"/>
            <w:vAlign w:val="center"/>
          </w:tcPr>
          <w:p w14:paraId="14AD574C" w14:textId="6034447A" w:rsidR="008713E7" w:rsidRPr="00324820" w:rsidRDefault="008713E7" w:rsidP="008713E7">
            <w:pPr>
              <w:rPr>
                <w:rFonts w:cs="Arial"/>
                <w:sz w:val="20"/>
                <w:szCs w:val="20"/>
              </w:rPr>
            </w:pPr>
            <w:r w:rsidRPr="00324820">
              <w:rPr>
                <w:rFonts w:cs="Arial"/>
                <w:sz w:val="20"/>
                <w:szCs w:val="20"/>
              </w:rPr>
              <w:t>Nacionalna i sveučilišna knjižnica u Zagrebu</w:t>
            </w:r>
          </w:p>
        </w:tc>
        <w:tc>
          <w:tcPr>
            <w:tcW w:w="1842" w:type="dxa"/>
            <w:vAlign w:val="center"/>
          </w:tcPr>
          <w:p w14:paraId="58FAC4AB" w14:textId="5033E7EB"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tcPr>
          <w:p w14:paraId="2757A798" w14:textId="7254F5EA"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1489E0C6" w14:textId="77777777" w:rsidTr="00DC5298">
        <w:trPr>
          <w:trHeight w:val="288"/>
          <w:jc w:val="center"/>
        </w:trPr>
        <w:tc>
          <w:tcPr>
            <w:tcW w:w="9776" w:type="dxa"/>
            <w:gridSpan w:val="4"/>
            <w:vAlign w:val="center"/>
          </w:tcPr>
          <w:p w14:paraId="0713900C" w14:textId="470BA004" w:rsidR="008713E7" w:rsidRPr="008713E7" w:rsidRDefault="008713E7" w:rsidP="008713E7">
            <w:pPr>
              <w:jc w:val="left"/>
              <w:rPr>
                <w:rFonts w:cs="Arial"/>
                <w:b/>
                <w:sz w:val="20"/>
                <w:szCs w:val="20"/>
              </w:rPr>
            </w:pPr>
            <w:r>
              <w:rPr>
                <w:rFonts w:cs="Arial"/>
                <w:b/>
                <w:sz w:val="20"/>
                <w:szCs w:val="20"/>
              </w:rPr>
              <w:t xml:space="preserve">         </w:t>
            </w:r>
            <w:r w:rsidRPr="008713E7">
              <w:rPr>
                <w:rFonts w:cs="Arial"/>
                <w:b/>
                <w:sz w:val="20"/>
                <w:szCs w:val="20"/>
              </w:rPr>
              <w:t>Izvanproračunski korisnik</w:t>
            </w:r>
          </w:p>
        </w:tc>
      </w:tr>
      <w:tr w:rsidR="008713E7" w:rsidRPr="00324820" w14:paraId="435E9AB8" w14:textId="77777777" w:rsidTr="001F3738">
        <w:trPr>
          <w:trHeight w:val="288"/>
          <w:jc w:val="center"/>
        </w:trPr>
        <w:tc>
          <w:tcPr>
            <w:tcW w:w="495" w:type="dxa"/>
            <w:vAlign w:val="center"/>
          </w:tcPr>
          <w:p w14:paraId="00EAACF0" w14:textId="0515DE12" w:rsidR="008713E7" w:rsidRPr="00324820" w:rsidRDefault="008713E7" w:rsidP="008713E7">
            <w:pPr>
              <w:rPr>
                <w:rFonts w:cs="Arial"/>
                <w:sz w:val="20"/>
                <w:szCs w:val="20"/>
              </w:rPr>
            </w:pPr>
            <w:r>
              <w:rPr>
                <w:rFonts w:cs="Arial"/>
                <w:sz w:val="20"/>
                <w:szCs w:val="20"/>
              </w:rPr>
              <w:t>1.</w:t>
            </w:r>
          </w:p>
        </w:tc>
        <w:tc>
          <w:tcPr>
            <w:tcW w:w="5596" w:type="dxa"/>
            <w:vAlign w:val="center"/>
          </w:tcPr>
          <w:p w14:paraId="45F91B6D" w14:textId="15D63F00" w:rsidR="008713E7" w:rsidRPr="00324820" w:rsidRDefault="008713E7" w:rsidP="008713E7">
            <w:pPr>
              <w:rPr>
                <w:rFonts w:cs="Arial"/>
                <w:sz w:val="20"/>
                <w:szCs w:val="20"/>
              </w:rPr>
            </w:pPr>
            <w:r w:rsidRPr="00324820">
              <w:rPr>
                <w:rFonts w:cs="Arial"/>
                <w:sz w:val="20"/>
                <w:szCs w:val="20"/>
              </w:rPr>
              <w:t>Hrvatski zavod za mirovinsko osiguranje</w:t>
            </w:r>
            <w:r>
              <w:rPr>
                <w:rFonts w:cs="Arial"/>
                <w:sz w:val="20"/>
                <w:szCs w:val="20"/>
              </w:rPr>
              <w:t xml:space="preserve"> </w:t>
            </w:r>
          </w:p>
        </w:tc>
        <w:tc>
          <w:tcPr>
            <w:tcW w:w="1842" w:type="dxa"/>
            <w:vAlign w:val="center"/>
          </w:tcPr>
          <w:p w14:paraId="009DECD5" w14:textId="573BA8FB"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tcPr>
          <w:p w14:paraId="45936A37" w14:textId="26CE980D"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5E9196E4" w14:textId="77777777" w:rsidTr="001F3738">
        <w:trPr>
          <w:trHeight w:val="288"/>
          <w:jc w:val="center"/>
        </w:trPr>
        <w:tc>
          <w:tcPr>
            <w:tcW w:w="9776" w:type="dxa"/>
            <w:gridSpan w:val="4"/>
            <w:shd w:val="clear" w:color="auto" w:fill="D9D9D9" w:themeFill="background1" w:themeFillShade="D9"/>
            <w:vAlign w:val="center"/>
            <w:hideMark/>
          </w:tcPr>
          <w:p w14:paraId="092EAC38" w14:textId="77777777" w:rsidR="008713E7" w:rsidRPr="00820BCA" w:rsidRDefault="008713E7" w:rsidP="008713E7">
            <w:pPr>
              <w:jc w:val="left"/>
              <w:rPr>
                <w:rFonts w:cs="Arial"/>
                <w:b/>
                <w:sz w:val="20"/>
                <w:szCs w:val="20"/>
              </w:rPr>
            </w:pPr>
            <w:r>
              <w:rPr>
                <w:rFonts w:cs="Arial"/>
                <w:b/>
                <w:sz w:val="20"/>
                <w:szCs w:val="20"/>
              </w:rPr>
              <w:t xml:space="preserve">         </w:t>
            </w:r>
            <w:r w:rsidRPr="00820BCA">
              <w:rPr>
                <w:rFonts w:cs="Arial"/>
                <w:b/>
                <w:sz w:val="20"/>
                <w:szCs w:val="20"/>
              </w:rPr>
              <w:t>Jedinice lokalne i područne (regionalne) samouprave</w:t>
            </w:r>
          </w:p>
        </w:tc>
      </w:tr>
      <w:tr w:rsidR="008713E7" w:rsidRPr="00324820" w14:paraId="35CCBD95" w14:textId="77777777" w:rsidTr="001F3738">
        <w:trPr>
          <w:trHeight w:val="288"/>
          <w:jc w:val="center"/>
        </w:trPr>
        <w:tc>
          <w:tcPr>
            <w:tcW w:w="495" w:type="dxa"/>
            <w:vAlign w:val="center"/>
            <w:hideMark/>
          </w:tcPr>
          <w:p w14:paraId="12568BA9" w14:textId="77777777" w:rsidR="008713E7" w:rsidRPr="00324820" w:rsidRDefault="008713E7" w:rsidP="008713E7">
            <w:pPr>
              <w:rPr>
                <w:rFonts w:cs="Arial"/>
                <w:sz w:val="20"/>
                <w:szCs w:val="20"/>
              </w:rPr>
            </w:pPr>
            <w:r w:rsidRPr="00324820">
              <w:rPr>
                <w:rFonts w:cs="Arial"/>
                <w:sz w:val="20"/>
                <w:szCs w:val="20"/>
              </w:rPr>
              <w:t> </w:t>
            </w:r>
          </w:p>
        </w:tc>
        <w:tc>
          <w:tcPr>
            <w:tcW w:w="5596" w:type="dxa"/>
            <w:vAlign w:val="center"/>
            <w:hideMark/>
          </w:tcPr>
          <w:p w14:paraId="1D389C47" w14:textId="77777777" w:rsidR="008713E7" w:rsidRPr="001F3738" w:rsidRDefault="008713E7" w:rsidP="008713E7">
            <w:pPr>
              <w:jc w:val="left"/>
              <w:rPr>
                <w:rFonts w:cs="Arial"/>
                <w:b/>
                <w:sz w:val="20"/>
                <w:szCs w:val="20"/>
              </w:rPr>
            </w:pPr>
            <w:r w:rsidRPr="001F3738">
              <w:rPr>
                <w:rFonts w:cs="Arial"/>
                <w:b/>
                <w:sz w:val="20"/>
                <w:szCs w:val="20"/>
              </w:rPr>
              <w:t>Županije</w:t>
            </w:r>
          </w:p>
        </w:tc>
        <w:tc>
          <w:tcPr>
            <w:tcW w:w="1842" w:type="dxa"/>
            <w:vAlign w:val="center"/>
            <w:hideMark/>
          </w:tcPr>
          <w:p w14:paraId="1FD00704" w14:textId="77777777" w:rsidR="008713E7" w:rsidRPr="00324820" w:rsidRDefault="008713E7" w:rsidP="008713E7">
            <w:pPr>
              <w:rPr>
                <w:rFonts w:cs="Arial"/>
                <w:sz w:val="20"/>
                <w:szCs w:val="20"/>
              </w:rPr>
            </w:pPr>
            <w:r w:rsidRPr="00324820">
              <w:rPr>
                <w:rFonts w:cs="Arial"/>
                <w:sz w:val="20"/>
                <w:szCs w:val="20"/>
              </w:rPr>
              <w:t> </w:t>
            </w:r>
          </w:p>
        </w:tc>
        <w:tc>
          <w:tcPr>
            <w:tcW w:w="1843" w:type="dxa"/>
            <w:vAlign w:val="center"/>
            <w:hideMark/>
          </w:tcPr>
          <w:p w14:paraId="0AA9F947" w14:textId="77777777" w:rsidR="008713E7" w:rsidRPr="00324820" w:rsidRDefault="008713E7" w:rsidP="008713E7">
            <w:pPr>
              <w:rPr>
                <w:rFonts w:cs="Arial"/>
                <w:sz w:val="20"/>
                <w:szCs w:val="20"/>
              </w:rPr>
            </w:pPr>
            <w:r w:rsidRPr="00324820">
              <w:rPr>
                <w:rFonts w:cs="Arial"/>
                <w:sz w:val="20"/>
                <w:szCs w:val="20"/>
              </w:rPr>
              <w:t> </w:t>
            </w:r>
          </w:p>
        </w:tc>
      </w:tr>
      <w:tr w:rsidR="008713E7" w:rsidRPr="00324820" w14:paraId="7F92834B" w14:textId="77777777" w:rsidTr="001F3738">
        <w:trPr>
          <w:trHeight w:val="288"/>
          <w:jc w:val="center"/>
        </w:trPr>
        <w:tc>
          <w:tcPr>
            <w:tcW w:w="495" w:type="dxa"/>
            <w:vAlign w:val="center"/>
            <w:hideMark/>
          </w:tcPr>
          <w:p w14:paraId="0A91DE17" w14:textId="77777777" w:rsidR="008713E7" w:rsidRPr="00324820" w:rsidRDefault="008713E7" w:rsidP="008713E7">
            <w:pPr>
              <w:rPr>
                <w:rFonts w:cs="Arial"/>
                <w:sz w:val="20"/>
                <w:szCs w:val="20"/>
              </w:rPr>
            </w:pPr>
            <w:r w:rsidRPr="00324820">
              <w:rPr>
                <w:rFonts w:cs="Arial"/>
                <w:sz w:val="20"/>
                <w:szCs w:val="20"/>
              </w:rPr>
              <w:t>1.</w:t>
            </w:r>
          </w:p>
        </w:tc>
        <w:tc>
          <w:tcPr>
            <w:tcW w:w="5596" w:type="dxa"/>
            <w:vAlign w:val="center"/>
            <w:hideMark/>
          </w:tcPr>
          <w:p w14:paraId="1901CD7B" w14:textId="77777777" w:rsidR="008713E7" w:rsidRPr="00324820" w:rsidRDefault="008713E7" w:rsidP="008713E7">
            <w:pPr>
              <w:rPr>
                <w:rFonts w:cs="Arial"/>
                <w:sz w:val="20"/>
                <w:szCs w:val="20"/>
              </w:rPr>
            </w:pPr>
            <w:r w:rsidRPr="00324820">
              <w:rPr>
                <w:rFonts w:cs="Arial"/>
                <w:sz w:val="20"/>
                <w:szCs w:val="20"/>
              </w:rPr>
              <w:t>Varaždinska županija</w:t>
            </w:r>
          </w:p>
        </w:tc>
        <w:tc>
          <w:tcPr>
            <w:tcW w:w="1842" w:type="dxa"/>
            <w:vAlign w:val="center"/>
            <w:hideMark/>
          </w:tcPr>
          <w:p w14:paraId="7534B934"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02B1F1B6"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2C672E4B" w14:textId="77777777" w:rsidTr="001F3738">
        <w:trPr>
          <w:trHeight w:val="288"/>
          <w:jc w:val="center"/>
        </w:trPr>
        <w:tc>
          <w:tcPr>
            <w:tcW w:w="495" w:type="dxa"/>
            <w:vAlign w:val="center"/>
            <w:hideMark/>
          </w:tcPr>
          <w:p w14:paraId="32C3CC96" w14:textId="77777777" w:rsidR="008713E7" w:rsidRPr="00324820" w:rsidRDefault="008713E7" w:rsidP="008713E7">
            <w:pPr>
              <w:rPr>
                <w:rFonts w:cs="Arial"/>
                <w:sz w:val="20"/>
                <w:szCs w:val="20"/>
              </w:rPr>
            </w:pPr>
            <w:r w:rsidRPr="00324820">
              <w:rPr>
                <w:rFonts w:cs="Arial"/>
                <w:sz w:val="20"/>
                <w:szCs w:val="20"/>
              </w:rPr>
              <w:t> </w:t>
            </w:r>
          </w:p>
        </w:tc>
        <w:tc>
          <w:tcPr>
            <w:tcW w:w="5596" w:type="dxa"/>
            <w:vAlign w:val="center"/>
            <w:hideMark/>
          </w:tcPr>
          <w:p w14:paraId="1C8C561C" w14:textId="77777777" w:rsidR="008713E7" w:rsidRPr="001F3738" w:rsidRDefault="008713E7" w:rsidP="008713E7">
            <w:pPr>
              <w:rPr>
                <w:rFonts w:cs="Arial"/>
                <w:b/>
                <w:sz w:val="20"/>
                <w:szCs w:val="20"/>
              </w:rPr>
            </w:pPr>
            <w:r w:rsidRPr="001F3738">
              <w:rPr>
                <w:rFonts w:cs="Arial"/>
                <w:b/>
                <w:sz w:val="20"/>
                <w:szCs w:val="20"/>
              </w:rPr>
              <w:t>Gradovi</w:t>
            </w:r>
          </w:p>
        </w:tc>
        <w:tc>
          <w:tcPr>
            <w:tcW w:w="1842" w:type="dxa"/>
            <w:vAlign w:val="center"/>
            <w:hideMark/>
          </w:tcPr>
          <w:p w14:paraId="4ED02BD0" w14:textId="77777777" w:rsidR="008713E7" w:rsidRPr="00324820" w:rsidRDefault="008713E7" w:rsidP="008713E7">
            <w:pPr>
              <w:jc w:val="center"/>
              <w:rPr>
                <w:rFonts w:cs="Arial"/>
                <w:sz w:val="20"/>
                <w:szCs w:val="20"/>
              </w:rPr>
            </w:pPr>
          </w:p>
        </w:tc>
        <w:tc>
          <w:tcPr>
            <w:tcW w:w="1843" w:type="dxa"/>
            <w:vAlign w:val="center"/>
            <w:hideMark/>
          </w:tcPr>
          <w:p w14:paraId="232DBAE2" w14:textId="77777777" w:rsidR="008713E7" w:rsidRPr="00324820" w:rsidRDefault="008713E7" w:rsidP="008713E7">
            <w:pPr>
              <w:jc w:val="center"/>
              <w:rPr>
                <w:rFonts w:cs="Arial"/>
                <w:sz w:val="20"/>
                <w:szCs w:val="20"/>
              </w:rPr>
            </w:pPr>
          </w:p>
        </w:tc>
      </w:tr>
      <w:tr w:rsidR="008713E7" w:rsidRPr="00324820" w14:paraId="6AAFF4A4" w14:textId="77777777" w:rsidTr="001F3738">
        <w:trPr>
          <w:trHeight w:val="288"/>
          <w:jc w:val="center"/>
        </w:trPr>
        <w:tc>
          <w:tcPr>
            <w:tcW w:w="495" w:type="dxa"/>
            <w:vAlign w:val="center"/>
            <w:hideMark/>
          </w:tcPr>
          <w:p w14:paraId="0D67C3F3" w14:textId="77777777" w:rsidR="008713E7" w:rsidRPr="00324820" w:rsidRDefault="008713E7" w:rsidP="008713E7">
            <w:pPr>
              <w:rPr>
                <w:rFonts w:cs="Arial"/>
                <w:sz w:val="20"/>
                <w:szCs w:val="20"/>
              </w:rPr>
            </w:pPr>
            <w:r>
              <w:rPr>
                <w:rFonts w:cs="Arial"/>
                <w:sz w:val="20"/>
                <w:szCs w:val="20"/>
              </w:rPr>
              <w:t>1</w:t>
            </w:r>
            <w:r w:rsidRPr="00324820">
              <w:rPr>
                <w:rFonts w:cs="Arial"/>
                <w:sz w:val="20"/>
                <w:szCs w:val="20"/>
              </w:rPr>
              <w:t>.</w:t>
            </w:r>
          </w:p>
        </w:tc>
        <w:tc>
          <w:tcPr>
            <w:tcW w:w="5596" w:type="dxa"/>
            <w:vAlign w:val="center"/>
            <w:hideMark/>
          </w:tcPr>
          <w:p w14:paraId="60D4E671" w14:textId="77777777" w:rsidR="008713E7" w:rsidRPr="00324820" w:rsidRDefault="008713E7" w:rsidP="008713E7">
            <w:pPr>
              <w:rPr>
                <w:rFonts w:cs="Arial"/>
                <w:sz w:val="20"/>
                <w:szCs w:val="20"/>
              </w:rPr>
            </w:pPr>
            <w:r w:rsidRPr="00324820">
              <w:rPr>
                <w:rFonts w:cs="Arial"/>
                <w:sz w:val="20"/>
                <w:szCs w:val="20"/>
              </w:rPr>
              <w:t>Bakar</w:t>
            </w:r>
          </w:p>
        </w:tc>
        <w:tc>
          <w:tcPr>
            <w:tcW w:w="1842" w:type="dxa"/>
            <w:vAlign w:val="center"/>
            <w:hideMark/>
          </w:tcPr>
          <w:p w14:paraId="62995A7C"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3031344B"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398B804F" w14:textId="77777777" w:rsidTr="001F3738">
        <w:trPr>
          <w:trHeight w:val="288"/>
          <w:jc w:val="center"/>
        </w:trPr>
        <w:tc>
          <w:tcPr>
            <w:tcW w:w="495" w:type="dxa"/>
            <w:vAlign w:val="center"/>
            <w:hideMark/>
          </w:tcPr>
          <w:p w14:paraId="7B4917C8" w14:textId="77777777" w:rsidR="008713E7" w:rsidRPr="00324820" w:rsidRDefault="008713E7" w:rsidP="008713E7">
            <w:pPr>
              <w:rPr>
                <w:rFonts w:cs="Arial"/>
                <w:sz w:val="20"/>
                <w:szCs w:val="20"/>
              </w:rPr>
            </w:pPr>
            <w:r>
              <w:rPr>
                <w:rFonts w:cs="Arial"/>
                <w:sz w:val="20"/>
                <w:szCs w:val="20"/>
              </w:rPr>
              <w:t>2</w:t>
            </w:r>
            <w:r w:rsidRPr="00324820">
              <w:rPr>
                <w:rFonts w:cs="Arial"/>
                <w:sz w:val="20"/>
                <w:szCs w:val="20"/>
              </w:rPr>
              <w:t>.</w:t>
            </w:r>
          </w:p>
        </w:tc>
        <w:tc>
          <w:tcPr>
            <w:tcW w:w="5596" w:type="dxa"/>
            <w:vAlign w:val="center"/>
            <w:hideMark/>
          </w:tcPr>
          <w:p w14:paraId="3E225C8D" w14:textId="77777777" w:rsidR="008713E7" w:rsidRPr="00324820" w:rsidRDefault="008713E7" w:rsidP="008713E7">
            <w:pPr>
              <w:rPr>
                <w:rFonts w:cs="Arial"/>
                <w:sz w:val="20"/>
                <w:szCs w:val="20"/>
              </w:rPr>
            </w:pPr>
            <w:r w:rsidRPr="00324820">
              <w:rPr>
                <w:rFonts w:cs="Arial"/>
                <w:sz w:val="20"/>
                <w:szCs w:val="20"/>
              </w:rPr>
              <w:t>Buzet</w:t>
            </w:r>
          </w:p>
        </w:tc>
        <w:tc>
          <w:tcPr>
            <w:tcW w:w="1842" w:type="dxa"/>
            <w:vAlign w:val="center"/>
            <w:hideMark/>
          </w:tcPr>
          <w:p w14:paraId="474561AB"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4BC0ABCC"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1906EF42" w14:textId="77777777" w:rsidTr="001F3738">
        <w:trPr>
          <w:trHeight w:val="288"/>
          <w:jc w:val="center"/>
        </w:trPr>
        <w:tc>
          <w:tcPr>
            <w:tcW w:w="495" w:type="dxa"/>
            <w:vAlign w:val="center"/>
            <w:hideMark/>
          </w:tcPr>
          <w:p w14:paraId="37C63050" w14:textId="77777777" w:rsidR="008713E7" w:rsidRPr="00324820" w:rsidRDefault="008713E7" w:rsidP="008713E7">
            <w:pPr>
              <w:rPr>
                <w:rFonts w:cs="Arial"/>
                <w:sz w:val="20"/>
                <w:szCs w:val="20"/>
              </w:rPr>
            </w:pPr>
            <w:r w:rsidRPr="00324820">
              <w:rPr>
                <w:rFonts w:cs="Arial"/>
                <w:sz w:val="20"/>
                <w:szCs w:val="20"/>
              </w:rPr>
              <w:t>3.</w:t>
            </w:r>
          </w:p>
        </w:tc>
        <w:tc>
          <w:tcPr>
            <w:tcW w:w="5596" w:type="dxa"/>
            <w:vAlign w:val="center"/>
            <w:hideMark/>
          </w:tcPr>
          <w:p w14:paraId="49385031" w14:textId="77777777" w:rsidR="008713E7" w:rsidRPr="00324820" w:rsidRDefault="008713E7" w:rsidP="008713E7">
            <w:pPr>
              <w:rPr>
                <w:rFonts w:cs="Arial"/>
                <w:sz w:val="20"/>
                <w:szCs w:val="20"/>
              </w:rPr>
            </w:pPr>
            <w:r w:rsidRPr="00324820">
              <w:rPr>
                <w:rFonts w:cs="Arial"/>
                <w:sz w:val="20"/>
                <w:szCs w:val="20"/>
              </w:rPr>
              <w:t>Kraljevica</w:t>
            </w:r>
          </w:p>
        </w:tc>
        <w:tc>
          <w:tcPr>
            <w:tcW w:w="1842" w:type="dxa"/>
            <w:vAlign w:val="center"/>
            <w:hideMark/>
          </w:tcPr>
          <w:p w14:paraId="10694D8E"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32D10DB0"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629092A1" w14:textId="77777777" w:rsidTr="001F3738">
        <w:trPr>
          <w:trHeight w:val="288"/>
          <w:jc w:val="center"/>
        </w:trPr>
        <w:tc>
          <w:tcPr>
            <w:tcW w:w="495" w:type="dxa"/>
            <w:vAlign w:val="center"/>
            <w:hideMark/>
          </w:tcPr>
          <w:p w14:paraId="3A15740B" w14:textId="77777777" w:rsidR="008713E7" w:rsidRPr="00324820" w:rsidRDefault="008713E7" w:rsidP="008713E7">
            <w:pPr>
              <w:rPr>
                <w:rFonts w:cs="Arial"/>
                <w:sz w:val="20"/>
                <w:szCs w:val="20"/>
              </w:rPr>
            </w:pPr>
            <w:r w:rsidRPr="00324820">
              <w:rPr>
                <w:rFonts w:cs="Arial"/>
                <w:sz w:val="20"/>
                <w:szCs w:val="20"/>
              </w:rPr>
              <w:t>4.</w:t>
            </w:r>
          </w:p>
        </w:tc>
        <w:tc>
          <w:tcPr>
            <w:tcW w:w="5596" w:type="dxa"/>
            <w:vAlign w:val="center"/>
            <w:hideMark/>
          </w:tcPr>
          <w:p w14:paraId="6411A542" w14:textId="77777777" w:rsidR="008713E7" w:rsidRPr="00324820" w:rsidRDefault="008713E7" w:rsidP="008713E7">
            <w:pPr>
              <w:rPr>
                <w:rFonts w:cs="Arial"/>
                <w:sz w:val="20"/>
                <w:szCs w:val="20"/>
              </w:rPr>
            </w:pPr>
            <w:r w:rsidRPr="00324820">
              <w:rPr>
                <w:rFonts w:cs="Arial"/>
                <w:sz w:val="20"/>
                <w:szCs w:val="20"/>
              </w:rPr>
              <w:t>Nova Gradiška</w:t>
            </w:r>
          </w:p>
        </w:tc>
        <w:tc>
          <w:tcPr>
            <w:tcW w:w="1842" w:type="dxa"/>
            <w:vAlign w:val="center"/>
            <w:hideMark/>
          </w:tcPr>
          <w:p w14:paraId="13FDB7F6"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078709D3"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6DAA6C2B" w14:textId="77777777" w:rsidTr="001F3738">
        <w:trPr>
          <w:trHeight w:val="288"/>
          <w:jc w:val="center"/>
        </w:trPr>
        <w:tc>
          <w:tcPr>
            <w:tcW w:w="495" w:type="dxa"/>
            <w:vAlign w:val="center"/>
            <w:hideMark/>
          </w:tcPr>
          <w:p w14:paraId="5F56266B" w14:textId="77777777" w:rsidR="008713E7" w:rsidRPr="00324820" w:rsidRDefault="008713E7" w:rsidP="008713E7">
            <w:pPr>
              <w:rPr>
                <w:rFonts w:cs="Arial"/>
                <w:sz w:val="20"/>
                <w:szCs w:val="20"/>
              </w:rPr>
            </w:pPr>
            <w:r w:rsidRPr="00324820">
              <w:rPr>
                <w:rFonts w:cs="Arial"/>
                <w:sz w:val="20"/>
                <w:szCs w:val="20"/>
              </w:rPr>
              <w:t>5.</w:t>
            </w:r>
          </w:p>
        </w:tc>
        <w:tc>
          <w:tcPr>
            <w:tcW w:w="5596" w:type="dxa"/>
            <w:vAlign w:val="center"/>
            <w:hideMark/>
          </w:tcPr>
          <w:p w14:paraId="070CC159" w14:textId="77777777" w:rsidR="008713E7" w:rsidRPr="00324820" w:rsidRDefault="008713E7" w:rsidP="008713E7">
            <w:pPr>
              <w:rPr>
                <w:rFonts w:cs="Arial"/>
                <w:sz w:val="20"/>
                <w:szCs w:val="20"/>
              </w:rPr>
            </w:pPr>
            <w:r w:rsidRPr="00324820">
              <w:rPr>
                <w:rFonts w:cs="Arial"/>
                <w:sz w:val="20"/>
                <w:szCs w:val="20"/>
              </w:rPr>
              <w:t>Novalja</w:t>
            </w:r>
          </w:p>
        </w:tc>
        <w:tc>
          <w:tcPr>
            <w:tcW w:w="1842" w:type="dxa"/>
            <w:vAlign w:val="center"/>
            <w:hideMark/>
          </w:tcPr>
          <w:p w14:paraId="0F622B15"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441B7D80"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2F410E35" w14:textId="77777777" w:rsidTr="001F3738">
        <w:trPr>
          <w:trHeight w:val="288"/>
          <w:jc w:val="center"/>
        </w:trPr>
        <w:tc>
          <w:tcPr>
            <w:tcW w:w="495" w:type="dxa"/>
            <w:vAlign w:val="center"/>
            <w:hideMark/>
          </w:tcPr>
          <w:p w14:paraId="3E049134" w14:textId="77777777" w:rsidR="008713E7" w:rsidRPr="00324820" w:rsidRDefault="008713E7" w:rsidP="008713E7">
            <w:pPr>
              <w:rPr>
                <w:rFonts w:cs="Arial"/>
                <w:sz w:val="20"/>
                <w:szCs w:val="20"/>
              </w:rPr>
            </w:pPr>
            <w:r w:rsidRPr="00324820">
              <w:rPr>
                <w:rFonts w:cs="Arial"/>
                <w:sz w:val="20"/>
                <w:szCs w:val="20"/>
              </w:rPr>
              <w:t>6.</w:t>
            </w:r>
          </w:p>
        </w:tc>
        <w:tc>
          <w:tcPr>
            <w:tcW w:w="5596" w:type="dxa"/>
            <w:vAlign w:val="center"/>
            <w:hideMark/>
          </w:tcPr>
          <w:p w14:paraId="50433ACD" w14:textId="77777777" w:rsidR="008713E7" w:rsidRPr="00324820" w:rsidRDefault="008713E7" w:rsidP="008713E7">
            <w:pPr>
              <w:rPr>
                <w:rFonts w:cs="Arial"/>
                <w:sz w:val="20"/>
                <w:szCs w:val="20"/>
              </w:rPr>
            </w:pPr>
            <w:r w:rsidRPr="00324820">
              <w:rPr>
                <w:rFonts w:cs="Arial"/>
                <w:sz w:val="20"/>
                <w:szCs w:val="20"/>
              </w:rPr>
              <w:t>Opatija</w:t>
            </w:r>
          </w:p>
        </w:tc>
        <w:tc>
          <w:tcPr>
            <w:tcW w:w="1842" w:type="dxa"/>
            <w:vAlign w:val="center"/>
            <w:hideMark/>
          </w:tcPr>
          <w:p w14:paraId="3E33AC2E"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5F613527"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254F44E5" w14:textId="77777777" w:rsidTr="001F3738">
        <w:trPr>
          <w:trHeight w:val="288"/>
          <w:jc w:val="center"/>
        </w:trPr>
        <w:tc>
          <w:tcPr>
            <w:tcW w:w="495" w:type="dxa"/>
            <w:vAlign w:val="center"/>
            <w:hideMark/>
          </w:tcPr>
          <w:p w14:paraId="6DCAD673" w14:textId="77777777" w:rsidR="008713E7" w:rsidRPr="00324820" w:rsidRDefault="008713E7" w:rsidP="008713E7">
            <w:pPr>
              <w:rPr>
                <w:rFonts w:cs="Arial"/>
                <w:sz w:val="20"/>
                <w:szCs w:val="20"/>
              </w:rPr>
            </w:pPr>
            <w:r w:rsidRPr="00324820">
              <w:rPr>
                <w:rFonts w:cs="Arial"/>
                <w:sz w:val="20"/>
                <w:szCs w:val="20"/>
              </w:rPr>
              <w:t>7.</w:t>
            </w:r>
          </w:p>
        </w:tc>
        <w:tc>
          <w:tcPr>
            <w:tcW w:w="5596" w:type="dxa"/>
            <w:vAlign w:val="center"/>
            <w:hideMark/>
          </w:tcPr>
          <w:p w14:paraId="1991F9C2" w14:textId="77777777" w:rsidR="008713E7" w:rsidRPr="00324820" w:rsidRDefault="008713E7" w:rsidP="008713E7">
            <w:pPr>
              <w:rPr>
                <w:rFonts w:cs="Arial"/>
                <w:sz w:val="20"/>
                <w:szCs w:val="20"/>
              </w:rPr>
            </w:pPr>
            <w:r w:rsidRPr="00324820">
              <w:rPr>
                <w:rFonts w:cs="Arial"/>
                <w:sz w:val="20"/>
                <w:szCs w:val="20"/>
              </w:rPr>
              <w:t>Orahovica</w:t>
            </w:r>
          </w:p>
        </w:tc>
        <w:tc>
          <w:tcPr>
            <w:tcW w:w="1842" w:type="dxa"/>
            <w:vAlign w:val="center"/>
            <w:hideMark/>
          </w:tcPr>
          <w:p w14:paraId="1027443F"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4D71E447"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20377BC7" w14:textId="77777777" w:rsidTr="001F3738">
        <w:trPr>
          <w:trHeight w:val="288"/>
          <w:jc w:val="center"/>
        </w:trPr>
        <w:tc>
          <w:tcPr>
            <w:tcW w:w="495" w:type="dxa"/>
            <w:vAlign w:val="center"/>
            <w:hideMark/>
          </w:tcPr>
          <w:p w14:paraId="6D12DB82" w14:textId="77777777" w:rsidR="008713E7" w:rsidRPr="00324820" w:rsidRDefault="008713E7" w:rsidP="008713E7">
            <w:pPr>
              <w:rPr>
                <w:rFonts w:cs="Arial"/>
                <w:sz w:val="20"/>
                <w:szCs w:val="20"/>
              </w:rPr>
            </w:pPr>
            <w:r w:rsidRPr="00324820">
              <w:rPr>
                <w:rFonts w:cs="Arial"/>
                <w:sz w:val="20"/>
                <w:szCs w:val="20"/>
              </w:rPr>
              <w:t>8.</w:t>
            </w:r>
          </w:p>
        </w:tc>
        <w:tc>
          <w:tcPr>
            <w:tcW w:w="5596" w:type="dxa"/>
            <w:vAlign w:val="center"/>
            <w:hideMark/>
          </w:tcPr>
          <w:p w14:paraId="077BEDA9" w14:textId="77777777" w:rsidR="008713E7" w:rsidRPr="00324820" w:rsidRDefault="008713E7" w:rsidP="008713E7">
            <w:pPr>
              <w:rPr>
                <w:rFonts w:cs="Arial"/>
                <w:sz w:val="20"/>
                <w:szCs w:val="20"/>
              </w:rPr>
            </w:pPr>
            <w:r w:rsidRPr="00324820">
              <w:rPr>
                <w:rFonts w:cs="Arial"/>
                <w:sz w:val="20"/>
                <w:szCs w:val="20"/>
              </w:rPr>
              <w:t>Ploče</w:t>
            </w:r>
          </w:p>
        </w:tc>
        <w:tc>
          <w:tcPr>
            <w:tcW w:w="1842" w:type="dxa"/>
            <w:vAlign w:val="center"/>
            <w:hideMark/>
          </w:tcPr>
          <w:p w14:paraId="3859215F"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4E61FD19"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7DCF1E3B" w14:textId="77777777" w:rsidTr="001F3738">
        <w:trPr>
          <w:trHeight w:val="288"/>
          <w:jc w:val="center"/>
        </w:trPr>
        <w:tc>
          <w:tcPr>
            <w:tcW w:w="495" w:type="dxa"/>
            <w:vAlign w:val="center"/>
            <w:hideMark/>
          </w:tcPr>
          <w:p w14:paraId="0B945704" w14:textId="77777777" w:rsidR="008713E7" w:rsidRPr="00324820" w:rsidRDefault="008713E7" w:rsidP="008713E7">
            <w:pPr>
              <w:rPr>
                <w:rFonts w:cs="Arial"/>
                <w:sz w:val="20"/>
                <w:szCs w:val="20"/>
              </w:rPr>
            </w:pPr>
            <w:r w:rsidRPr="00324820">
              <w:rPr>
                <w:rFonts w:cs="Arial"/>
                <w:sz w:val="20"/>
                <w:szCs w:val="20"/>
              </w:rPr>
              <w:t>9.</w:t>
            </w:r>
          </w:p>
        </w:tc>
        <w:tc>
          <w:tcPr>
            <w:tcW w:w="5596" w:type="dxa"/>
            <w:vAlign w:val="center"/>
            <w:hideMark/>
          </w:tcPr>
          <w:p w14:paraId="54DAE023" w14:textId="77777777" w:rsidR="008713E7" w:rsidRPr="00324820" w:rsidRDefault="008713E7" w:rsidP="008713E7">
            <w:pPr>
              <w:rPr>
                <w:rFonts w:cs="Arial"/>
                <w:sz w:val="20"/>
                <w:szCs w:val="20"/>
              </w:rPr>
            </w:pPr>
            <w:r w:rsidRPr="00324820">
              <w:rPr>
                <w:rFonts w:cs="Arial"/>
                <w:sz w:val="20"/>
                <w:szCs w:val="20"/>
              </w:rPr>
              <w:t>Senj</w:t>
            </w:r>
          </w:p>
        </w:tc>
        <w:tc>
          <w:tcPr>
            <w:tcW w:w="1842" w:type="dxa"/>
            <w:vAlign w:val="center"/>
            <w:hideMark/>
          </w:tcPr>
          <w:p w14:paraId="6BD57495"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76E6581C"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5FBB809B" w14:textId="77777777" w:rsidTr="001F3738">
        <w:trPr>
          <w:trHeight w:val="288"/>
          <w:jc w:val="center"/>
        </w:trPr>
        <w:tc>
          <w:tcPr>
            <w:tcW w:w="495" w:type="dxa"/>
            <w:vAlign w:val="center"/>
            <w:hideMark/>
          </w:tcPr>
          <w:p w14:paraId="0DC7CB93" w14:textId="77777777" w:rsidR="008713E7" w:rsidRPr="00324820" w:rsidRDefault="008713E7" w:rsidP="008713E7">
            <w:pPr>
              <w:rPr>
                <w:rFonts w:cs="Arial"/>
                <w:sz w:val="20"/>
                <w:szCs w:val="20"/>
              </w:rPr>
            </w:pPr>
            <w:r w:rsidRPr="00324820">
              <w:rPr>
                <w:rFonts w:cs="Arial"/>
                <w:sz w:val="20"/>
                <w:szCs w:val="20"/>
              </w:rPr>
              <w:t>10.</w:t>
            </w:r>
          </w:p>
        </w:tc>
        <w:tc>
          <w:tcPr>
            <w:tcW w:w="5596" w:type="dxa"/>
            <w:vAlign w:val="center"/>
            <w:hideMark/>
          </w:tcPr>
          <w:p w14:paraId="44D98FE8" w14:textId="77777777" w:rsidR="008713E7" w:rsidRPr="00324820" w:rsidRDefault="008713E7" w:rsidP="008713E7">
            <w:pPr>
              <w:rPr>
                <w:rFonts w:cs="Arial"/>
                <w:sz w:val="20"/>
                <w:szCs w:val="20"/>
              </w:rPr>
            </w:pPr>
            <w:r w:rsidRPr="00324820">
              <w:rPr>
                <w:rFonts w:cs="Arial"/>
                <w:sz w:val="20"/>
                <w:szCs w:val="20"/>
              </w:rPr>
              <w:t>Sisak</w:t>
            </w:r>
          </w:p>
        </w:tc>
        <w:tc>
          <w:tcPr>
            <w:tcW w:w="1842" w:type="dxa"/>
            <w:vAlign w:val="center"/>
            <w:hideMark/>
          </w:tcPr>
          <w:p w14:paraId="69729863" w14:textId="77777777" w:rsidR="008713E7" w:rsidRPr="00324820" w:rsidRDefault="008713E7" w:rsidP="008713E7">
            <w:pPr>
              <w:jc w:val="center"/>
              <w:rPr>
                <w:rFonts w:cs="Arial"/>
                <w:sz w:val="20"/>
                <w:szCs w:val="20"/>
              </w:rPr>
            </w:pPr>
            <w:r w:rsidRPr="00324820">
              <w:rPr>
                <w:rFonts w:cs="Arial"/>
                <w:sz w:val="20"/>
                <w:szCs w:val="20"/>
              </w:rPr>
              <w:t>nepovoljno</w:t>
            </w:r>
          </w:p>
        </w:tc>
        <w:tc>
          <w:tcPr>
            <w:tcW w:w="1843" w:type="dxa"/>
            <w:vAlign w:val="center"/>
            <w:hideMark/>
          </w:tcPr>
          <w:p w14:paraId="6C4CF763"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5FD3BA2C" w14:textId="77777777" w:rsidTr="001F3738">
        <w:trPr>
          <w:trHeight w:val="288"/>
          <w:jc w:val="center"/>
        </w:trPr>
        <w:tc>
          <w:tcPr>
            <w:tcW w:w="495" w:type="dxa"/>
            <w:vAlign w:val="center"/>
            <w:hideMark/>
          </w:tcPr>
          <w:p w14:paraId="3741AD06" w14:textId="77777777" w:rsidR="008713E7" w:rsidRPr="00324820" w:rsidRDefault="008713E7" w:rsidP="008713E7">
            <w:pPr>
              <w:rPr>
                <w:rFonts w:cs="Arial"/>
                <w:sz w:val="20"/>
                <w:szCs w:val="20"/>
              </w:rPr>
            </w:pPr>
            <w:r w:rsidRPr="00324820">
              <w:rPr>
                <w:rFonts w:cs="Arial"/>
                <w:sz w:val="20"/>
                <w:szCs w:val="20"/>
              </w:rPr>
              <w:t>11.</w:t>
            </w:r>
          </w:p>
        </w:tc>
        <w:tc>
          <w:tcPr>
            <w:tcW w:w="5596" w:type="dxa"/>
            <w:vAlign w:val="center"/>
            <w:hideMark/>
          </w:tcPr>
          <w:p w14:paraId="6D979C8A" w14:textId="77777777" w:rsidR="008713E7" w:rsidRPr="00324820" w:rsidRDefault="008713E7" w:rsidP="008713E7">
            <w:pPr>
              <w:rPr>
                <w:rFonts w:cs="Arial"/>
                <w:sz w:val="20"/>
                <w:szCs w:val="20"/>
              </w:rPr>
            </w:pPr>
            <w:r w:rsidRPr="00324820">
              <w:rPr>
                <w:rFonts w:cs="Arial"/>
                <w:sz w:val="20"/>
                <w:szCs w:val="20"/>
              </w:rPr>
              <w:t>Trilj</w:t>
            </w:r>
          </w:p>
        </w:tc>
        <w:tc>
          <w:tcPr>
            <w:tcW w:w="1842" w:type="dxa"/>
            <w:vAlign w:val="center"/>
            <w:hideMark/>
          </w:tcPr>
          <w:p w14:paraId="6C5D4068"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507CD3BC"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2A4A7891" w14:textId="77777777" w:rsidTr="001F3738">
        <w:trPr>
          <w:trHeight w:val="288"/>
          <w:jc w:val="center"/>
        </w:trPr>
        <w:tc>
          <w:tcPr>
            <w:tcW w:w="495" w:type="dxa"/>
            <w:vAlign w:val="center"/>
            <w:hideMark/>
          </w:tcPr>
          <w:p w14:paraId="589A12E2" w14:textId="77777777" w:rsidR="008713E7" w:rsidRPr="00324820" w:rsidRDefault="008713E7" w:rsidP="008713E7">
            <w:pPr>
              <w:rPr>
                <w:rFonts w:cs="Arial"/>
                <w:sz w:val="20"/>
                <w:szCs w:val="20"/>
              </w:rPr>
            </w:pPr>
            <w:r w:rsidRPr="00324820">
              <w:rPr>
                <w:rFonts w:cs="Arial"/>
                <w:sz w:val="20"/>
                <w:szCs w:val="20"/>
              </w:rPr>
              <w:t> </w:t>
            </w:r>
          </w:p>
        </w:tc>
        <w:tc>
          <w:tcPr>
            <w:tcW w:w="9281" w:type="dxa"/>
            <w:gridSpan w:val="3"/>
            <w:vAlign w:val="center"/>
            <w:hideMark/>
          </w:tcPr>
          <w:p w14:paraId="29D34D55" w14:textId="77777777" w:rsidR="008713E7" w:rsidRPr="001F3738" w:rsidRDefault="008713E7" w:rsidP="008713E7">
            <w:pPr>
              <w:jc w:val="left"/>
              <w:rPr>
                <w:rFonts w:cs="Arial"/>
                <w:b/>
                <w:sz w:val="20"/>
                <w:szCs w:val="20"/>
              </w:rPr>
            </w:pPr>
            <w:r w:rsidRPr="001F3738">
              <w:rPr>
                <w:rFonts w:cs="Arial"/>
                <w:b/>
                <w:sz w:val="20"/>
                <w:szCs w:val="20"/>
              </w:rPr>
              <w:t>Općine</w:t>
            </w:r>
          </w:p>
        </w:tc>
      </w:tr>
      <w:tr w:rsidR="008713E7" w:rsidRPr="00324820" w14:paraId="498F6042" w14:textId="77777777" w:rsidTr="001F3738">
        <w:trPr>
          <w:trHeight w:val="288"/>
          <w:jc w:val="center"/>
        </w:trPr>
        <w:tc>
          <w:tcPr>
            <w:tcW w:w="495" w:type="dxa"/>
            <w:vAlign w:val="center"/>
            <w:hideMark/>
          </w:tcPr>
          <w:p w14:paraId="06001F7B" w14:textId="77777777" w:rsidR="008713E7" w:rsidRPr="00324820" w:rsidRDefault="008713E7" w:rsidP="008713E7">
            <w:pPr>
              <w:rPr>
                <w:rFonts w:cs="Arial"/>
                <w:sz w:val="20"/>
                <w:szCs w:val="20"/>
              </w:rPr>
            </w:pPr>
            <w:r w:rsidRPr="00324820">
              <w:rPr>
                <w:rFonts w:cs="Arial"/>
                <w:sz w:val="20"/>
                <w:szCs w:val="20"/>
              </w:rPr>
              <w:t>1.</w:t>
            </w:r>
          </w:p>
        </w:tc>
        <w:tc>
          <w:tcPr>
            <w:tcW w:w="5596" w:type="dxa"/>
            <w:vAlign w:val="center"/>
            <w:hideMark/>
          </w:tcPr>
          <w:p w14:paraId="4DC46C21" w14:textId="77777777" w:rsidR="008713E7" w:rsidRPr="00324820" w:rsidRDefault="008713E7" w:rsidP="008713E7">
            <w:pPr>
              <w:rPr>
                <w:rFonts w:cs="Arial"/>
                <w:sz w:val="20"/>
                <w:szCs w:val="20"/>
              </w:rPr>
            </w:pPr>
            <w:r w:rsidRPr="00324820">
              <w:rPr>
                <w:rFonts w:cs="Arial"/>
                <w:sz w:val="20"/>
                <w:szCs w:val="20"/>
              </w:rPr>
              <w:t>Bibinje</w:t>
            </w:r>
          </w:p>
        </w:tc>
        <w:tc>
          <w:tcPr>
            <w:tcW w:w="1842" w:type="dxa"/>
            <w:vAlign w:val="center"/>
            <w:hideMark/>
          </w:tcPr>
          <w:p w14:paraId="0374FB8B"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39E2B6E6"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07E97669" w14:textId="77777777" w:rsidTr="001F3738">
        <w:trPr>
          <w:trHeight w:val="288"/>
          <w:jc w:val="center"/>
        </w:trPr>
        <w:tc>
          <w:tcPr>
            <w:tcW w:w="495" w:type="dxa"/>
            <w:vAlign w:val="center"/>
            <w:hideMark/>
          </w:tcPr>
          <w:p w14:paraId="1C6CA17D" w14:textId="77777777" w:rsidR="008713E7" w:rsidRPr="00324820" w:rsidRDefault="008713E7" w:rsidP="008713E7">
            <w:pPr>
              <w:rPr>
                <w:rFonts w:cs="Arial"/>
                <w:sz w:val="20"/>
                <w:szCs w:val="20"/>
              </w:rPr>
            </w:pPr>
            <w:r w:rsidRPr="00324820">
              <w:rPr>
                <w:rFonts w:cs="Arial"/>
                <w:sz w:val="20"/>
                <w:szCs w:val="20"/>
              </w:rPr>
              <w:t>2.</w:t>
            </w:r>
          </w:p>
        </w:tc>
        <w:tc>
          <w:tcPr>
            <w:tcW w:w="5596" w:type="dxa"/>
            <w:vAlign w:val="center"/>
            <w:hideMark/>
          </w:tcPr>
          <w:p w14:paraId="0E7C0644" w14:textId="77777777" w:rsidR="008713E7" w:rsidRPr="00324820" w:rsidRDefault="008713E7" w:rsidP="008713E7">
            <w:pPr>
              <w:rPr>
                <w:rFonts w:cs="Arial"/>
                <w:sz w:val="20"/>
                <w:szCs w:val="20"/>
              </w:rPr>
            </w:pPr>
            <w:r w:rsidRPr="00324820">
              <w:rPr>
                <w:rFonts w:cs="Arial"/>
                <w:sz w:val="20"/>
                <w:szCs w:val="20"/>
              </w:rPr>
              <w:t>Bilice</w:t>
            </w:r>
          </w:p>
        </w:tc>
        <w:tc>
          <w:tcPr>
            <w:tcW w:w="1842" w:type="dxa"/>
            <w:vAlign w:val="center"/>
            <w:hideMark/>
          </w:tcPr>
          <w:p w14:paraId="4709079D"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4075F29E"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17A89F06" w14:textId="77777777" w:rsidTr="001F3738">
        <w:trPr>
          <w:trHeight w:val="288"/>
          <w:jc w:val="center"/>
        </w:trPr>
        <w:tc>
          <w:tcPr>
            <w:tcW w:w="495" w:type="dxa"/>
            <w:vAlign w:val="center"/>
            <w:hideMark/>
          </w:tcPr>
          <w:p w14:paraId="227059E9" w14:textId="77777777" w:rsidR="008713E7" w:rsidRPr="00324820" w:rsidRDefault="008713E7" w:rsidP="008713E7">
            <w:pPr>
              <w:rPr>
                <w:rFonts w:cs="Arial"/>
                <w:sz w:val="20"/>
                <w:szCs w:val="20"/>
              </w:rPr>
            </w:pPr>
            <w:r w:rsidRPr="00324820">
              <w:rPr>
                <w:rFonts w:cs="Arial"/>
                <w:sz w:val="20"/>
                <w:szCs w:val="20"/>
              </w:rPr>
              <w:t>3.</w:t>
            </w:r>
          </w:p>
        </w:tc>
        <w:tc>
          <w:tcPr>
            <w:tcW w:w="5596" w:type="dxa"/>
            <w:vAlign w:val="center"/>
            <w:hideMark/>
          </w:tcPr>
          <w:p w14:paraId="4B360939" w14:textId="77777777" w:rsidR="008713E7" w:rsidRPr="00F97931" w:rsidRDefault="008713E7" w:rsidP="008713E7">
            <w:pPr>
              <w:rPr>
                <w:rFonts w:cs="Arial"/>
                <w:sz w:val="20"/>
                <w:szCs w:val="20"/>
              </w:rPr>
            </w:pPr>
            <w:r w:rsidRPr="00F97931">
              <w:rPr>
                <w:rFonts w:cs="Arial"/>
                <w:sz w:val="20"/>
                <w:szCs w:val="20"/>
              </w:rPr>
              <w:t>Dicmo</w:t>
            </w:r>
          </w:p>
        </w:tc>
        <w:tc>
          <w:tcPr>
            <w:tcW w:w="1842" w:type="dxa"/>
            <w:vAlign w:val="center"/>
            <w:hideMark/>
          </w:tcPr>
          <w:p w14:paraId="730CB7C8"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49F358F6"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19EEA148" w14:textId="77777777" w:rsidTr="001F3738">
        <w:trPr>
          <w:trHeight w:val="288"/>
          <w:jc w:val="center"/>
        </w:trPr>
        <w:tc>
          <w:tcPr>
            <w:tcW w:w="495" w:type="dxa"/>
            <w:vAlign w:val="center"/>
            <w:hideMark/>
          </w:tcPr>
          <w:p w14:paraId="3AE971DC" w14:textId="77777777" w:rsidR="008713E7" w:rsidRPr="00324820" w:rsidRDefault="008713E7" w:rsidP="008713E7">
            <w:pPr>
              <w:rPr>
                <w:rFonts w:cs="Arial"/>
                <w:sz w:val="20"/>
                <w:szCs w:val="20"/>
              </w:rPr>
            </w:pPr>
            <w:r w:rsidRPr="00324820">
              <w:rPr>
                <w:rFonts w:cs="Arial"/>
                <w:sz w:val="20"/>
                <w:szCs w:val="20"/>
              </w:rPr>
              <w:t>4.</w:t>
            </w:r>
          </w:p>
        </w:tc>
        <w:tc>
          <w:tcPr>
            <w:tcW w:w="5596" w:type="dxa"/>
            <w:vAlign w:val="center"/>
            <w:hideMark/>
          </w:tcPr>
          <w:p w14:paraId="28C1E61B" w14:textId="77777777" w:rsidR="008713E7" w:rsidRPr="00F97931" w:rsidRDefault="008713E7" w:rsidP="008713E7">
            <w:pPr>
              <w:rPr>
                <w:rFonts w:cs="Arial"/>
                <w:sz w:val="20"/>
                <w:szCs w:val="20"/>
              </w:rPr>
            </w:pPr>
            <w:r w:rsidRPr="00F97931">
              <w:rPr>
                <w:rFonts w:cs="Arial"/>
                <w:sz w:val="20"/>
                <w:szCs w:val="20"/>
              </w:rPr>
              <w:t>Gornja Stubica</w:t>
            </w:r>
          </w:p>
        </w:tc>
        <w:tc>
          <w:tcPr>
            <w:tcW w:w="1842" w:type="dxa"/>
            <w:vAlign w:val="center"/>
            <w:hideMark/>
          </w:tcPr>
          <w:p w14:paraId="31A563D7"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30F3F444"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06475D41" w14:textId="77777777" w:rsidTr="001F3738">
        <w:trPr>
          <w:trHeight w:val="288"/>
          <w:jc w:val="center"/>
        </w:trPr>
        <w:tc>
          <w:tcPr>
            <w:tcW w:w="495" w:type="dxa"/>
            <w:vAlign w:val="center"/>
            <w:hideMark/>
          </w:tcPr>
          <w:p w14:paraId="72AE130E" w14:textId="77777777" w:rsidR="008713E7" w:rsidRPr="00324820" w:rsidRDefault="008713E7" w:rsidP="008713E7">
            <w:pPr>
              <w:rPr>
                <w:rFonts w:cs="Arial"/>
                <w:sz w:val="20"/>
                <w:szCs w:val="20"/>
              </w:rPr>
            </w:pPr>
            <w:r w:rsidRPr="00324820">
              <w:rPr>
                <w:rFonts w:cs="Arial"/>
                <w:sz w:val="20"/>
                <w:szCs w:val="20"/>
              </w:rPr>
              <w:t>5.</w:t>
            </w:r>
          </w:p>
        </w:tc>
        <w:tc>
          <w:tcPr>
            <w:tcW w:w="5596" w:type="dxa"/>
            <w:vAlign w:val="center"/>
            <w:hideMark/>
          </w:tcPr>
          <w:p w14:paraId="1B1E005E" w14:textId="77777777" w:rsidR="008713E7" w:rsidRPr="00F97931" w:rsidRDefault="008713E7" w:rsidP="008713E7">
            <w:pPr>
              <w:rPr>
                <w:rFonts w:cs="Arial"/>
                <w:sz w:val="20"/>
                <w:szCs w:val="20"/>
              </w:rPr>
            </w:pPr>
            <w:r w:rsidRPr="00F97931">
              <w:rPr>
                <w:rFonts w:cs="Arial"/>
                <w:sz w:val="20"/>
                <w:szCs w:val="20"/>
              </w:rPr>
              <w:t>Gradina</w:t>
            </w:r>
          </w:p>
        </w:tc>
        <w:tc>
          <w:tcPr>
            <w:tcW w:w="1842" w:type="dxa"/>
            <w:vAlign w:val="center"/>
            <w:hideMark/>
          </w:tcPr>
          <w:p w14:paraId="6900C86C"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5E15D2DD"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6284B2A6" w14:textId="77777777" w:rsidTr="001F3738">
        <w:trPr>
          <w:trHeight w:val="288"/>
          <w:jc w:val="center"/>
        </w:trPr>
        <w:tc>
          <w:tcPr>
            <w:tcW w:w="495" w:type="dxa"/>
            <w:vAlign w:val="center"/>
            <w:hideMark/>
          </w:tcPr>
          <w:p w14:paraId="7AD1287A" w14:textId="553FB2D4" w:rsidR="008713E7" w:rsidRPr="00324820" w:rsidRDefault="00987C41" w:rsidP="008713E7">
            <w:pPr>
              <w:rPr>
                <w:rFonts w:cs="Arial"/>
                <w:sz w:val="20"/>
                <w:szCs w:val="20"/>
              </w:rPr>
            </w:pPr>
            <w:r>
              <w:rPr>
                <w:rFonts w:cs="Arial"/>
                <w:sz w:val="20"/>
                <w:szCs w:val="20"/>
              </w:rPr>
              <w:lastRenderedPageBreak/>
              <w:t>6</w:t>
            </w:r>
            <w:r w:rsidR="008713E7" w:rsidRPr="00324820">
              <w:rPr>
                <w:rFonts w:cs="Arial"/>
                <w:sz w:val="20"/>
                <w:szCs w:val="20"/>
              </w:rPr>
              <w:t>.</w:t>
            </w:r>
          </w:p>
        </w:tc>
        <w:tc>
          <w:tcPr>
            <w:tcW w:w="5596" w:type="dxa"/>
            <w:vAlign w:val="center"/>
            <w:hideMark/>
          </w:tcPr>
          <w:p w14:paraId="450AD46B" w14:textId="77777777" w:rsidR="008713E7" w:rsidRPr="00324820" w:rsidRDefault="008713E7" w:rsidP="008713E7">
            <w:pPr>
              <w:rPr>
                <w:rFonts w:cs="Arial"/>
                <w:sz w:val="20"/>
                <w:szCs w:val="20"/>
              </w:rPr>
            </w:pPr>
            <w:r w:rsidRPr="00324820">
              <w:rPr>
                <w:rFonts w:cs="Arial"/>
                <w:sz w:val="20"/>
                <w:szCs w:val="20"/>
              </w:rPr>
              <w:t>Hum na Sutli</w:t>
            </w:r>
          </w:p>
        </w:tc>
        <w:tc>
          <w:tcPr>
            <w:tcW w:w="1842" w:type="dxa"/>
            <w:vAlign w:val="center"/>
            <w:hideMark/>
          </w:tcPr>
          <w:p w14:paraId="4B83EFB3"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1F8F9646"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704D531B" w14:textId="77777777" w:rsidTr="001F3738">
        <w:trPr>
          <w:trHeight w:val="288"/>
          <w:jc w:val="center"/>
        </w:trPr>
        <w:tc>
          <w:tcPr>
            <w:tcW w:w="495" w:type="dxa"/>
            <w:vAlign w:val="center"/>
            <w:hideMark/>
          </w:tcPr>
          <w:p w14:paraId="17C6857D" w14:textId="77777777" w:rsidR="008713E7" w:rsidRPr="00324820" w:rsidRDefault="008713E7" w:rsidP="008713E7">
            <w:pPr>
              <w:rPr>
                <w:rFonts w:cs="Arial"/>
                <w:sz w:val="20"/>
                <w:szCs w:val="20"/>
              </w:rPr>
            </w:pPr>
            <w:r w:rsidRPr="00324820">
              <w:rPr>
                <w:rFonts w:cs="Arial"/>
                <w:sz w:val="20"/>
                <w:szCs w:val="20"/>
              </w:rPr>
              <w:t>7.</w:t>
            </w:r>
          </w:p>
        </w:tc>
        <w:tc>
          <w:tcPr>
            <w:tcW w:w="5596" w:type="dxa"/>
            <w:vAlign w:val="center"/>
            <w:hideMark/>
          </w:tcPr>
          <w:p w14:paraId="35FBD790" w14:textId="77777777" w:rsidR="008713E7" w:rsidRPr="00F97931" w:rsidRDefault="008713E7" w:rsidP="008713E7">
            <w:pPr>
              <w:rPr>
                <w:rFonts w:cs="Arial"/>
                <w:sz w:val="20"/>
                <w:szCs w:val="20"/>
              </w:rPr>
            </w:pPr>
            <w:r w:rsidRPr="00F97931">
              <w:rPr>
                <w:rFonts w:cs="Arial"/>
                <w:sz w:val="20"/>
                <w:szCs w:val="20"/>
              </w:rPr>
              <w:t>Kaštelir – Labinci – Castelliere – S. Domenica</w:t>
            </w:r>
          </w:p>
        </w:tc>
        <w:tc>
          <w:tcPr>
            <w:tcW w:w="1842" w:type="dxa"/>
            <w:vAlign w:val="center"/>
            <w:hideMark/>
          </w:tcPr>
          <w:p w14:paraId="19899046"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4D70828E"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1428F295" w14:textId="77777777" w:rsidTr="001F3738">
        <w:trPr>
          <w:trHeight w:val="288"/>
          <w:jc w:val="center"/>
        </w:trPr>
        <w:tc>
          <w:tcPr>
            <w:tcW w:w="495" w:type="dxa"/>
            <w:vAlign w:val="center"/>
            <w:hideMark/>
          </w:tcPr>
          <w:p w14:paraId="617A249F" w14:textId="77777777" w:rsidR="008713E7" w:rsidRPr="00324820" w:rsidRDefault="008713E7" w:rsidP="008713E7">
            <w:pPr>
              <w:rPr>
                <w:rFonts w:cs="Arial"/>
                <w:sz w:val="20"/>
                <w:szCs w:val="20"/>
              </w:rPr>
            </w:pPr>
            <w:r w:rsidRPr="00324820">
              <w:rPr>
                <w:rFonts w:cs="Arial"/>
                <w:sz w:val="20"/>
                <w:szCs w:val="20"/>
              </w:rPr>
              <w:t>8.</w:t>
            </w:r>
          </w:p>
        </w:tc>
        <w:tc>
          <w:tcPr>
            <w:tcW w:w="5596" w:type="dxa"/>
            <w:vAlign w:val="center"/>
            <w:hideMark/>
          </w:tcPr>
          <w:p w14:paraId="25DBE4AB" w14:textId="77777777" w:rsidR="008713E7" w:rsidRPr="00F97931" w:rsidRDefault="008713E7" w:rsidP="008713E7">
            <w:pPr>
              <w:rPr>
                <w:rFonts w:cs="Arial"/>
                <w:sz w:val="20"/>
                <w:szCs w:val="20"/>
              </w:rPr>
            </w:pPr>
            <w:r w:rsidRPr="00F97931">
              <w:rPr>
                <w:rFonts w:cs="Arial"/>
                <w:sz w:val="20"/>
                <w:szCs w:val="20"/>
              </w:rPr>
              <w:t>Klakar</w:t>
            </w:r>
          </w:p>
        </w:tc>
        <w:tc>
          <w:tcPr>
            <w:tcW w:w="1842" w:type="dxa"/>
            <w:vAlign w:val="center"/>
            <w:hideMark/>
          </w:tcPr>
          <w:p w14:paraId="7FE04617"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59EDD59E"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72D04ADC" w14:textId="77777777" w:rsidTr="001F3738">
        <w:trPr>
          <w:trHeight w:val="288"/>
          <w:jc w:val="center"/>
        </w:trPr>
        <w:tc>
          <w:tcPr>
            <w:tcW w:w="495" w:type="dxa"/>
            <w:vAlign w:val="center"/>
            <w:hideMark/>
          </w:tcPr>
          <w:p w14:paraId="01EEEBFD" w14:textId="77777777" w:rsidR="008713E7" w:rsidRPr="00324820" w:rsidRDefault="008713E7" w:rsidP="008713E7">
            <w:pPr>
              <w:rPr>
                <w:rFonts w:cs="Arial"/>
                <w:sz w:val="20"/>
                <w:szCs w:val="20"/>
              </w:rPr>
            </w:pPr>
            <w:r w:rsidRPr="00324820">
              <w:rPr>
                <w:rFonts w:cs="Arial"/>
                <w:sz w:val="20"/>
                <w:szCs w:val="20"/>
              </w:rPr>
              <w:t>9.</w:t>
            </w:r>
          </w:p>
        </w:tc>
        <w:tc>
          <w:tcPr>
            <w:tcW w:w="5596" w:type="dxa"/>
            <w:vAlign w:val="center"/>
            <w:hideMark/>
          </w:tcPr>
          <w:p w14:paraId="45E002AE" w14:textId="77777777" w:rsidR="008713E7" w:rsidRPr="00F97931" w:rsidRDefault="008713E7" w:rsidP="008713E7">
            <w:pPr>
              <w:rPr>
                <w:rFonts w:cs="Arial"/>
                <w:sz w:val="20"/>
                <w:szCs w:val="20"/>
              </w:rPr>
            </w:pPr>
            <w:r w:rsidRPr="00F97931">
              <w:rPr>
                <w:rFonts w:cs="Arial"/>
                <w:sz w:val="20"/>
                <w:szCs w:val="20"/>
              </w:rPr>
              <w:t>Kloštar Ivanić</w:t>
            </w:r>
          </w:p>
        </w:tc>
        <w:tc>
          <w:tcPr>
            <w:tcW w:w="1842" w:type="dxa"/>
            <w:vAlign w:val="center"/>
            <w:hideMark/>
          </w:tcPr>
          <w:p w14:paraId="3DD3A8C7"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7BFEA36B"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3A97C470" w14:textId="77777777" w:rsidTr="001F3738">
        <w:trPr>
          <w:trHeight w:val="288"/>
          <w:jc w:val="center"/>
        </w:trPr>
        <w:tc>
          <w:tcPr>
            <w:tcW w:w="495" w:type="dxa"/>
            <w:vAlign w:val="center"/>
            <w:hideMark/>
          </w:tcPr>
          <w:p w14:paraId="3BD4D807" w14:textId="77777777" w:rsidR="008713E7" w:rsidRPr="00324820" w:rsidRDefault="008713E7" w:rsidP="008713E7">
            <w:pPr>
              <w:rPr>
                <w:rFonts w:cs="Arial"/>
                <w:sz w:val="20"/>
                <w:szCs w:val="20"/>
              </w:rPr>
            </w:pPr>
            <w:r w:rsidRPr="00324820">
              <w:rPr>
                <w:rFonts w:cs="Arial"/>
                <w:sz w:val="20"/>
                <w:szCs w:val="20"/>
              </w:rPr>
              <w:t>10.</w:t>
            </w:r>
          </w:p>
        </w:tc>
        <w:tc>
          <w:tcPr>
            <w:tcW w:w="5596" w:type="dxa"/>
            <w:vAlign w:val="center"/>
            <w:hideMark/>
          </w:tcPr>
          <w:p w14:paraId="6F7052FE" w14:textId="77777777" w:rsidR="008713E7" w:rsidRPr="00324820" w:rsidRDefault="008713E7" w:rsidP="008713E7">
            <w:pPr>
              <w:rPr>
                <w:rFonts w:cs="Arial"/>
                <w:sz w:val="20"/>
                <w:szCs w:val="20"/>
              </w:rPr>
            </w:pPr>
            <w:r w:rsidRPr="00324820">
              <w:rPr>
                <w:rFonts w:cs="Arial"/>
                <w:sz w:val="20"/>
                <w:szCs w:val="20"/>
              </w:rPr>
              <w:t>Krapinske Toplice</w:t>
            </w:r>
          </w:p>
        </w:tc>
        <w:tc>
          <w:tcPr>
            <w:tcW w:w="1842" w:type="dxa"/>
            <w:vAlign w:val="center"/>
            <w:hideMark/>
          </w:tcPr>
          <w:p w14:paraId="432CBAEE"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260C2297"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006BDF40" w14:textId="77777777" w:rsidTr="001F3738">
        <w:trPr>
          <w:trHeight w:val="288"/>
          <w:jc w:val="center"/>
        </w:trPr>
        <w:tc>
          <w:tcPr>
            <w:tcW w:w="495" w:type="dxa"/>
            <w:vAlign w:val="center"/>
            <w:hideMark/>
          </w:tcPr>
          <w:p w14:paraId="6B57BE66" w14:textId="77777777" w:rsidR="008713E7" w:rsidRPr="00324820" w:rsidRDefault="008713E7" w:rsidP="008713E7">
            <w:pPr>
              <w:rPr>
                <w:rFonts w:cs="Arial"/>
                <w:sz w:val="20"/>
                <w:szCs w:val="20"/>
              </w:rPr>
            </w:pPr>
            <w:r w:rsidRPr="00324820">
              <w:rPr>
                <w:rFonts w:cs="Arial"/>
                <w:sz w:val="20"/>
                <w:szCs w:val="20"/>
              </w:rPr>
              <w:t>11.</w:t>
            </w:r>
          </w:p>
        </w:tc>
        <w:tc>
          <w:tcPr>
            <w:tcW w:w="5596" w:type="dxa"/>
            <w:vAlign w:val="center"/>
            <w:hideMark/>
          </w:tcPr>
          <w:p w14:paraId="2030345C" w14:textId="77777777" w:rsidR="008713E7" w:rsidRPr="00F97931" w:rsidRDefault="008713E7" w:rsidP="008713E7">
            <w:pPr>
              <w:rPr>
                <w:rFonts w:cs="Arial"/>
                <w:sz w:val="20"/>
                <w:szCs w:val="20"/>
              </w:rPr>
            </w:pPr>
            <w:r w:rsidRPr="00F97931">
              <w:rPr>
                <w:rFonts w:cs="Arial"/>
                <w:sz w:val="20"/>
                <w:szCs w:val="20"/>
              </w:rPr>
              <w:t>Lovinac</w:t>
            </w:r>
          </w:p>
        </w:tc>
        <w:tc>
          <w:tcPr>
            <w:tcW w:w="1842" w:type="dxa"/>
            <w:vAlign w:val="center"/>
            <w:hideMark/>
          </w:tcPr>
          <w:p w14:paraId="74557713"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0DC602F3"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49D9DA98" w14:textId="77777777" w:rsidTr="001F3738">
        <w:trPr>
          <w:trHeight w:val="288"/>
          <w:jc w:val="center"/>
        </w:trPr>
        <w:tc>
          <w:tcPr>
            <w:tcW w:w="495" w:type="dxa"/>
            <w:vAlign w:val="center"/>
            <w:hideMark/>
          </w:tcPr>
          <w:p w14:paraId="45604BDA" w14:textId="77777777" w:rsidR="008713E7" w:rsidRPr="00324820" w:rsidRDefault="008713E7" w:rsidP="008713E7">
            <w:pPr>
              <w:rPr>
                <w:rFonts w:cs="Arial"/>
                <w:sz w:val="20"/>
                <w:szCs w:val="20"/>
              </w:rPr>
            </w:pPr>
            <w:r w:rsidRPr="00324820">
              <w:rPr>
                <w:rFonts w:cs="Arial"/>
                <w:sz w:val="20"/>
                <w:szCs w:val="20"/>
              </w:rPr>
              <w:t>12.</w:t>
            </w:r>
          </w:p>
        </w:tc>
        <w:tc>
          <w:tcPr>
            <w:tcW w:w="5596" w:type="dxa"/>
            <w:vAlign w:val="center"/>
            <w:hideMark/>
          </w:tcPr>
          <w:p w14:paraId="1A4ACD7B" w14:textId="77777777" w:rsidR="008713E7" w:rsidRPr="00F97931" w:rsidRDefault="008713E7" w:rsidP="008713E7">
            <w:pPr>
              <w:rPr>
                <w:rFonts w:cs="Arial"/>
                <w:sz w:val="20"/>
                <w:szCs w:val="20"/>
              </w:rPr>
            </w:pPr>
            <w:r w:rsidRPr="00F97931">
              <w:rPr>
                <w:rFonts w:cs="Arial"/>
                <w:sz w:val="20"/>
                <w:szCs w:val="20"/>
              </w:rPr>
              <w:t>Marija Bistrica</w:t>
            </w:r>
          </w:p>
        </w:tc>
        <w:tc>
          <w:tcPr>
            <w:tcW w:w="1842" w:type="dxa"/>
            <w:vAlign w:val="center"/>
            <w:hideMark/>
          </w:tcPr>
          <w:p w14:paraId="42B99A1C"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655A0760"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24B019D9" w14:textId="77777777" w:rsidTr="001F3738">
        <w:trPr>
          <w:trHeight w:val="288"/>
          <w:jc w:val="center"/>
        </w:trPr>
        <w:tc>
          <w:tcPr>
            <w:tcW w:w="495" w:type="dxa"/>
            <w:vAlign w:val="center"/>
            <w:hideMark/>
          </w:tcPr>
          <w:p w14:paraId="45A3E890" w14:textId="77777777" w:rsidR="008713E7" w:rsidRPr="00324820" w:rsidRDefault="008713E7" w:rsidP="008713E7">
            <w:pPr>
              <w:rPr>
                <w:rFonts w:cs="Arial"/>
                <w:sz w:val="20"/>
                <w:szCs w:val="20"/>
              </w:rPr>
            </w:pPr>
            <w:r w:rsidRPr="00324820">
              <w:rPr>
                <w:rFonts w:cs="Arial"/>
                <w:sz w:val="20"/>
                <w:szCs w:val="20"/>
              </w:rPr>
              <w:t>13.</w:t>
            </w:r>
          </w:p>
        </w:tc>
        <w:tc>
          <w:tcPr>
            <w:tcW w:w="5596" w:type="dxa"/>
            <w:vAlign w:val="center"/>
            <w:hideMark/>
          </w:tcPr>
          <w:p w14:paraId="3C1DB301" w14:textId="77777777" w:rsidR="008713E7" w:rsidRPr="00F97931" w:rsidRDefault="008713E7" w:rsidP="008713E7">
            <w:pPr>
              <w:rPr>
                <w:rFonts w:cs="Arial"/>
                <w:sz w:val="20"/>
                <w:szCs w:val="20"/>
              </w:rPr>
            </w:pPr>
            <w:r w:rsidRPr="00F97931">
              <w:rPr>
                <w:rFonts w:cs="Arial"/>
                <w:sz w:val="20"/>
                <w:szCs w:val="20"/>
              </w:rPr>
              <w:t>Mljet</w:t>
            </w:r>
          </w:p>
        </w:tc>
        <w:tc>
          <w:tcPr>
            <w:tcW w:w="1842" w:type="dxa"/>
            <w:vAlign w:val="center"/>
            <w:hideMark/>
          </w:tcPr>
          <w:p w14:paraId="5A690D45"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0B2EFD17"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5BBC8771" w14:textId="77777777" w:rsidTr="001F3738">
        <w:trPr>
          <w:trHeight w:val="288"/>
          <w:jc w:val="center"/>
        </w:trPr>
        <w:tc>
          <w:tcPr>
            <w:tcW w:w="495" w:type="dxa"/>
            <w:vAlign w:val="center"/>
            <w:hideMark/>
          </w:tcPr>
          <w:p w14:paraId="12DC600B" w14:textId="77777777" w:rsidR="008713E7" w:rsidRPr="00324820" w:rsidRDefault="008713E7" w:rsidP="008713E7">
            <w:pPr>
              <w:rPr>
                <w:rFonts w:cs="Arial"/>
                <w:sz w:val="20"/>
                <w:szCs w:val="20"/>
              </w:rPr>
            </w:pPr>
            <w:r w:rsidRPr="00324820">
              <w:rPr>
                <w:rFonts w:cs="Arial"/>
                <w:sz w:val="20"/>
                <w:szCs w:val="20"/>
              </w:rPr>
              <w:t>14.</w:t>
            </w:r>
          </w:p>
        </w:tc>
        <w:tc>
          <w:tcPr>
            <w:tcW w:w="5596" w:type="dxa"/>
            <w:vAlign w:val="center"/>
            <w:hideMark/>
          </w:tcPr>
          <w:p w14:paraId="2B5D410B" w14:textId="77777777" w:rsidR="008713E7" w:rsidRPr="00F97931" w:rsidRDefault="008713E7" w:rsidP="008713E7">
            <w:pPr>
              <w:rPr>
                <w:rFonts w:cs="Arial"/>
                <w:sz w:val="20"/>
                <w:szCs w:val="20"/>
              </w:rPr>
            </w:pPr>
            <w:r w:rsidRPr="00F97931">
              <w:rPr>
                <w:rFonts w:cs="Arial"/>
                <w:sz w:val="20"/>
                <w:szCs w:val="20"/>
              </w:rPr>
              <w:t>Nova Kapela</w:t>
            </w:r>
          </w:p>
        </w:tc>
        <w:tc>
          <w:tcPr>
            <w:tcW w:w="1842" w:type="dxa"/>
            <w:vAlign w:val="center"/>
            <w:hideMark/>
          </w:tcPr>
          <w:p w14:paraId="3394FB91"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7583C8D5"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218282A0" w14:textId="77777777" w:rsidTr="001F3738">
        <w:trPr>
          <w:trHeight w:val="288"/>
          <w:jc w:val="center"/>
        </w:trPr>
        <w:tc>
          <w:tcPr>
            <w:tcW w:w="495" w:type="dxa"/>
            <w:vAlign w:val="center"/>
            <w:hideMark/>
          </w:tcPr>
          <w:p w14:paraId="6AA4E1D3" w14:textId="77777777" w:rsidR="008713E7" w:rsidRPr="00324820" w:rsidRDefault="008713E7" w:rsidP="008713E7">
            <w:pPr>
              <w:rPr>
                <w:rFonts w:cs="Arial"/>
                <w:sz w:val="20"/>
                <w:szCs w:val="20"/>
              </w:rPr>
            </w:pPr>
            <w:r w:rsidRPr="00324820">
              <w:rPr>
                <w:rFonts w:cs="Arial"/>
                <w:sz w:val="20"/>
                <w:szCs w:val="20"/>
              </w:rPr>
              <w:t>15.</w:t>
            </w:r>
          </w:p>
        </w:tc>
        <w:tc>
          <w:tcPr>
            <w:tcW w:w="5596" w:type="dxa"/>
            <w:vAlign w:val="center"/>
            <w:hideMark/>
          </w:tcPr>
          <w:p w14:paraId="52784B72" w14:textId="77777777" w:rsidR="008713E7" w:rsidRPr="00F97931" w:rsidRDefault="008713E7" w:rsidP="008713E7">
            <w:pPr>
              <w:rPr>
                <w:rFonts w:cs="Arial"/>
                <w:sz w:val="20"/>
                <w:szCs w:val="20"/>
              </w:rPr>
            </w:pPr>
            <w:r w:rsidRPr="00F97931">
              <w:rPr>
                <w:rFonts w:cs="Arial"/>
                <w:sz w:val="20"/>
                <w:szCs w:val="20"/>
              </w:rPr>
              <w:t>Oriovac</w:t>
            </w:r>
          </w:p>
        </w:tc>
        <w:tc>
          <w:tcPr>
            <w:tcW w:w="1842" w:type="dxa"/>
            <w:vAlign w:val="center"/>
            <w:hideMark/>
          </w:tcPr>
          <w:p w14:paraId="6BF32E8D"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6B4DC4C4"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0D55189E" w14:textId="77777777" w:rsidTr="001F3738">
        <w:trPr>
          <w:trHeight w:val="288"/>
          <w:jc w:val="center"/>
        </w:trPr>
        <w:tc>
          <w:tcPr>
            <w:tcW w:w="495" w:type="dxa"/>
            <w:vAlign w:val="center"/>
            <w:hideMark/>
          </w:tcPr>
          <w:p w14:paraId="26D9EB80" w14:textId="77777777" w:rsidR="008713E7" w:rsidRPr="00324820" w:rsidRDefault="008713E7" w:rsidP="008713E7">
            <w:pPr>
              <w:rPr>
                <w:rFonts w:cs="Arial"/>
                <w:sz w:val="20"/>
                <w:szCs w:val="20"/>
              </w:rPr>
            </w:pPr>
            <w:r w:rsidRPr="00324820">
              <w:rPr>
                <w:rFonts w:cs="Arial"/>
                <w:sz w:val="20"/>
                <w:szCs w:val="20"/>
              </w:rPr>
              <w:t>16.</w:t>
            </w:r>
          </w:p>
        </w:tc>
        <w:tc>
          <w:tcPr>
            <w:tcW w:w="5596" w:type="dxa"/>
            <w:vAlign w:val="center"/>
            <w:hideMark/>
          </w:tcPr>
          <w:p w14:paraId="112C49E5" w14:textId="77777777" w:rsidR="008713E7" w:rsidRPr="00F97931" w:rsidRDefault="008713E7" w:rsidP="008713E7">
            <w:pPr>
              <w:rPr>
                <w:rFonts w:cs="Arial"/>
                <w:sz w:val="20"/>
                <w:szCs w:val="20"/>
              </w:rPr>
            </w:pPr>
            <w:r w:rsidRPr="00F97931">
              <w:rPr>
                <w:rFonts w:cs="Arial"/>
                <w:sz w:val="20"/>
                <w:szCs w:val="20"/>
              </w:rPr>
              <w:t>Perušić</w:t>
            </w:r>
          </w:p>
        </w:tc>
        <w:tc>
          <w:tcPr>
            <w:tcW w:w="1842" w:type="dxa"/>
            <w:vAlign w:val="center"/>
            <w:hideMark/>
          </w:tcPr>
          <w:p w14:paraId="6B1B991A"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1CCD5C27"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41CB63AB" w14:textId="77777777" w:rsidTr="001F3738">
        <w:trPr>
          <w:trHeight w:val="288"/>
          <w:jc w:val="center"/>
        </w:trPr>
        <w:tc>
          <w:tcPr>
            <w:tcW w:w="495" w:type="dxa"/>
            <w:vAlign w:val="center"/>
            <w:hideMark/>
          </w:tcPr>
          <w:p w14:paraId="149E0DB6" w14:textId="77777777" w:rsidR="008713E7" w:rsidRPr="00324820" w:rsidRDefault="008713E7" w:rsidP="008713E7">
            <w:pPr>
              <w:rPr>
                <w:rFonts w:cs="Arial"/>
                <w:sz w:val="20"/>
                <w:szCs w:val="20"/>
              </w:rPr>
            </w:pPr>
            <w:r w:rsidRPr="00324820">
              <w:rPr>
                <w:rFonts w:cs="Arial"/>
                <w:sz w:val="20"/>
                <w:szCs w:val="20"/>
              </w:rPr>
              <w:t>17.</w:t>
            </w:r>
          </w:p>
        </w:tc>
        <w:tc>
          <w:tcPr>
            <w:tcW w:w="5596" w:type="dxa"/>
            <w:vAlign w:val="center"/>
            <w:hideMark/>
          </w:tcPr>
          <w:p w14:paraId="0E80CE52" w14:textId="77777777" w:rsidR="008713E7" w:rsidRPr="00F97931" w:rsidRDefault="008713E7" w:rsidP="008713E7">
            <w:pPr>
              <w:rPr>
                <w:rFonts w:cs="Arial"/>
                <w:sz w:val="20"/>
                <w:szCs w:val="20"/>
              </w:rPr>
            </w:pPr>
            <w:r w:rsidRPr="00F97931">
              <w:rPr>
                <w:rFonts w:cs="Arial"/>
                <w:sz w:val="20"/>
                <w:szCs w:val="20"/>
              </w:rPr>
              <w:t>Petrijanec</w:t>
            </w:r>
          </w:p>
        </w:tc>
        <w:tc>
          <w:tcPr>
            <w:tcW w:w="1842" w:type="dxa"/>
            <w:vAlign w:val="center"/>
            <w:hideMark/>
          </w:tcPr>
          <w:p w14:paraId="7E77D309"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55E809C3"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212DBA33" w14:textId="77777777" w:rsidTr="001F3738">
        <w:trPr>
          <w:trHeight w:val="288"/>
          <w:jc w:val="center"/>
        </w:trPr>
        <w:tc>
          <w:tcPr>
            <w:tcW w:w="495" w:type="dxa"/>
            <w:vAlign w:val="center"/>
            <w:hideMark/>
          </w:tcPr>
          <w:p w14:paraId="32BB6B31" w14:textId="77777777" w:rsidR="008713E7" w:rsidRPr="00324820" w:rsidRDefault="008713E7" w:rsidP="008713E7">
            <w:pPr>
              <w:rPr>
                <w:rFonts w:cs="Arial"/>
                <w:sz w:val="20"/>
                <w:szCs w:val="20"/>
              </w:rPr>
            </w:pPr>
            <w:r w:rsidRPr="00324820">
              <w:rPr>
                <w:rFonts w:cs="Arial"/>
                <w:sz w:val="20"/>
                <w:szCs w:val="20"/>
              </w:rPr>
              <w:t>18.</w:t>
            </w:r>
          </w:p>
        </w:tc>
        <w:tc>
          <w:tcPr>
            <w:tcW w:w="5596" w:type="dxa"/>
            <w:vAlign w:val="center"/>
            <w:hideMark/>
          </w:tcPr>
          <w:p w14:paraId="5B0C08FF" w14:textId="77777777" w:rsidR="008713E7" w:rsidRPr="00F97931" w:rsidRDefault="008713E7" w:rsidP="008713E7">
            <w:pPr>
              <w:rPr>
                <w:rFonts w:cs="Arial"/>
                <w:sz w:val="20"/>
                <w:szCs w:val="20"/>
              </w:rPr>
            </w:pPr>
            <w:r w:rsidRPr="00F97931">
              <w:rPr>
                <w:rFonts w:cs="Arial"/>
                <w:sz w:val="20"/>
                <w:szCs w:val="20"/>
              </w:rPr>
              <w:t>Podstrana</w:t>
            </w:r>
          </w:p>
        </w:tc>
        <w:tc>
          <w:tcPr>
            <w:tcW w:w="1842" w:type="dxa"/>
            <w:vAlign w:val="center"/>
            <w:hideMark/>
          </w:tcPr>
          <w:p w14:paraId="77C20270"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68E480CA"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0558B8FD" w14:textId="77777777" w:rsidTr="001F3738">
        <w:trPr>
          <w:trHeight w:val="288"/>
          <w:jc w:val="center"/>
        </w:trPr>
        <w:tc>
          <w:tcPr>
            <w:tcW w:w="495" w:type="dxa"/>
            <w:vAlign w:val="center"/>
            <w:hideMark/>
          </w:tcPr>
          <w:p w14:paraId="724CF0D2" w14:textId="77777777" w:rsidR="008713E7" w:rsidRPr="00324820" w:rsidRDefault="008713E7" w:rsidP="008713E7">
            <w:pPr>
              <w:rPr>
                <w:rFonts w:cs="Arial"/>
                <w:sz w:val="20"/>
                <w:szCs w:val="20"/>
              </w:rPr>
            </w:pPr>
            <w:r w:rsidRPr="00324820">
              <w:rPr>
                <w:rFonts w:cs="Arial"/>
                <w:sz w:val="20"/>
                <w:szCs w:val="20"/>
              </w:rPr>
              <w:t>19.</w:t>
            </w:r>
          </w:p>
        </w:tc>
        <w:tc>
          <w:tcPr>
            <w:tcW w:w="5596" w:type="dxa"/>
            <w:vAlign w:val="center"/>
            <w:hideMark/>
          </w:tcPr>
          <w:p w14:paraId="0CBF8E45" w14:textId="77777777" w:rsidR="008713E7" w:rsidRPr="00F97931" w:rsidRDefault="008713E7" w:rsidP="008713E7">
            <w:pPr>
              <w:rPr>
                <w:rFonts w:cs="Arial"/>
                <w:sz w:val="20"/>
                <w:szCs w:val="20"/>
              </w:rPr>
            </w:pPr>
            <w:r w:rsidRPr="00F97931">
              <w:rPr>
                <w:rFonts w:cs="Arial"/>
                <w:sz w:val="20"/>
                <w:szCs w:val="20"/>
              </w:rPr>
              <w:t>Povljana</w:t>
            </w:r>
          </w:p>
        </w:tc>
        <w:tc>
          <w:tcPr>
            <w:tcW w:w="1842" w:type="dxa"/>
            <w:vAlign w:val="center"/>
            <w:hideMark/>
          </w:tcPr>
          <w:p w14:paraId="2BC1A8C9" w14:textId="77777777" w:rsidR="008713E7" w:rsidRPr="00324820" w:rsidRDefault="008713E7" w:rsidP="008713E7">
            <w:pPr>
              <w:jc w:val="center"/>
              <w:rPr>
                <w:rFonts w:cs="Arial"/>
                <w:sz w:val="20"/>
                <w:szCs w:val="20"/>
              </w:rPr>
            </w:pPr>
            <w:r w:rsidRPr="00324820">
              <w:rPr>
                <w:rFonts w:cs="Arial"/>
                <w:sz w:val="20"/>
                <w:szCs w:val="20"/>
              </w:rPr>
              <w:t>nepovoljno</w:t>
            </w:r>
          </w:p>
        </w:tc>
        <w:tc>
          <w:tcPr>
            <w:tcW w:w="1843" w:type="dxa"/>
            <w:vAlign w:val="center"/>
            <w:hideMark/>
          </w:tcPr>
          <w:p w14:paraId="3F74F7F1"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7A998B59" w14:textId="77777777" w:rsidTr="001F3738">
        <w:trPr>
          <w:trHeight w:val="288"/>
          <w:jc w:val="center"/>
        </w:trPr>
        <w:tc>
          <w:tcPr>
            <w:tcW w:w="495" w:type="dxa"/>
            <w:vAlign w:val="center"/>
            <w:hideMark/>
          </w:tcPr>
          <w:p w14:paraId="37BD6C9F" w14:textId="77777777" w:rsidR="008713E7" w:rsidRPr="00324820" w:rsidRDefault="008713E7" w:rsidP="008713E7">
            <w:pPr>
              <w:rPr>
                <w:rFonts w:cs="Arial"/>
                <w:sz w:val="20"/>
                <w:szCs w:val="20"/>
              </w:rPr>
            </w:pPr>
            <w:r w:rsidRPr="00324820">
              <w:rPr>
                <w:rFonts w:cs="Arial"/>
                <w:sz w:val="20"/>
                <w:szCs w:val="20"/>
              </w:rPr>
              <w:t>20.</w:t>
            </w:r>
          </w:p>
        </w:tc>
        <w:tc>
          <w:tcPr>
            <w:tcW w:w="5596" w:type="dxa"/>
            <w:vAlign w:val="center"/>
            <w:hideMark/>
          </w:tcPr>
          <w:p w14:paraId="78FCD7C4" w14:textId="77777777" w:rsidR="008713E7" w:rsidRPr="00F97931" w:rsidRDefault="008713E7" w:rsidP="008713E7">
            <w:pPr>
              <w:rPr>
                <w:rFonts w:cs="Arial"/>
                <w:sz w:val="20"/>
                <w:szCs w:val="20"/>
              </w:rPr>
            </w:pPr>
            <w:r w:rsidRPr="00F97931">
              <w:rPr>
                <w:rFonts w:cs="Arial"/>
                <w:sz w:val="20"/>
                <w:szCs w:val="20"/>
              </w:rPr>
              <w:t>Primošten</w:t>
            </w:r>
          </w:p>
        </w:tc>
        <w:tc>
          <w:tcPr>
            <w:tcW w:w="1842" w:type="dxa"/>
            <w:vAlign w:val="center"/>
            <w:hideMark/>
          </w:tcPr>
          <w:p w14:paraId="16EE6966"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534E36CF"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11F2B47D" w14:textId="77777777" w:rsidTr="001F3738">
        <w:trPr>
          <w:trHeight w:val="288"/>
          <w:jc w:val="center"/>
        </w:trPr>
        <w:tc>
          <w:tcPr>
            <w:tcW w:w="495" w:type="dxa"/>
            <w:vAlign w:val="center"/>
            <w:hideMark/>
          </w:tcPr>
          <w:p w14:paraId="6F83C19A" w14:textId="77777777" w:rsidR="008713E7" w:rsidRPr="00324820" w:rsidRDefault="008713E7" w:rsidP="008713E7">
            <w:pPr>
              <w:rPr>
                <w:rFonts w:cs="Arial"/>
                <w:sz w:val="20"/>
                <w:szCs w:val="20"/>
              </w:rPr>
            </w:pPr>
            <w:r w:rsidRPr="00324820">
              <w:rPr>
                <w:rFonts w:cs="Arial"/>
                <w:sz w:val="20"/>
                <w:szCs w:val="20"/>
              </w:rPr>
              <w:t>21.</w:t>
            </w:r>
          </w:p>
        </w:tc>
        <w:tc>
          <w:tcPr>
            <w:tcW w:w="5596" w:type="dxa"/>
            <w:vAlign w:val="center"/>
            <w:hideMark/>
          </w:tcPr>
          <w:p w14:paraId="2CA71CEB" w14:textId="77777777" w:rsidR="008713E7" w:rsidRPr="00F97931" w:rsidRDefault="008713E7" w:rsidP="008713E7">
            <w:pPr>
              <w:rPr>
                <w:rFonts w:cs="Arial"/>
                <w:sz w:val="20"/>
                <w:szCs w:val="20"/>
              </w:rPr>
            </w:pPr>
            <w:r w:rsidRPr="00F97931">
              <w:rPr>
                <w:rFonts w:cs="Arial"/>
                <w:sz w:val="20"/>
                <w:szCs w:val="20"/>
              </w:rPr>
              <w:t>Selnica</w:t>
            </w:r>
          </w:p>
        </w:tc>
        <w:tc>
          <w:tcPr>
            <w:tcW w:w="1842" w:type="dxa"/>
            <w:vAlign w:val="center"/>
            <w:hideMark/>
          </w:tcPr>
          <w:p w14:paraId="220D3379"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6F7C6319"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6494E433" w14:textId="77777777" w:rsidTr="001F3738">
        <w:trPr>
          <w:trHeight w:val="288"/>
          <w:jc w:val="center"/>
        </w:trPr>
        <w:tc>
          <w:tcPr>
            <w:tcW w:w="495" w:type="dxa"/>
            <w:vAlign w:val="center"/>
            <w:hideMark/>
          </w:tcPr>
          <w:p w14:paraId="2702E35F" w14:textId="77777777" w:rsidR="008713E7" w:rsidRPr="00324820" w:rsidRDefault="008713E7" w:rsidP="008713E7">
            <w:pPr>
              <w:rPr>
                <w:rFonts w:cs="Arial"/>
                <w:sz w:val="20"/>
                <w:szCs w:val="20"/>
              </w:rPr>
            </w:pPr>
            <w:r w:rsidRPr="00324820">
              <w:rPr>
                <w:rFonts w:cs="Arial"/>
                <w:sz w:val="20"/>
                <w:szCs w:val="20"/>
              </w:rPr>
              <w:t>22.</w:t>
            </w:r>
          </w:p>
        </w:tc>
        <w:tc>
          <w:tcPr>
            <w:tcW w:w="5596" w:type="dxa"/>
            <w:vAlign w:val="center"/>
            <w:hideMark/>
          </w:tcPr>
          <w:p w14:paraId="34D983B0" w14:textId="77777777" w:rsidR="008713E7" w:rsidRPr="00F97931" w:rsidRDefault="008713E7" w:rsidP="008713E7">
            <w:pPr>
              <w:rPr>
                <w:rFonts w:cs="Arial"/>
                <w:sz w:val="20"/>
                <w:szCs w:val="20"/>
              </w:rPr>
            </w:pPr>
            <w:r w:rsidRPr="00F97931">
              <w:rPr>
                <w:rFonts w:cs="Arial"/>
                <w:sz w:val="20"/>
                <w:szCs w:val="20"/>
              </w:rPr>
              <w:t>Skrad</w:t>
            </w:r>
          </w:p>
        </w:tc>
        <w:tc>
          <w:tcPr>
            <w:tcW w:w="1842" w:type="dxa"/>
            <w:vAlign w:val="center"/>
            <w:hideMark/>
          </w:tcPr>
          <w:p w14:paraId="179DB80E"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18AA9EA5"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7D9ADC7D" w14:textId="77777777" w:rsidTr="001F3738">
        <w:trPr>
          <w:trHeight w:val="288"/>
          <w:jc w:val="center"/>
        </w:trPr>
        <w:tc>
          <w:tcPr>
            <w:tcW w:w="495" w:type="dxa"/>
            <w:vAlign w:val="center"/>
            <w:hideMark/>
          </w:tcPr>
          <w:p w14:paraId="3F036493" w14:textId="77777777" w:rsidR="008713E7" w:rsidRPr="00324820" w:rsidRDefault="008713E7" w:rsidP="008713E7">
            <w:pPr>
              <w:rPr>
                <w:rFonts w:cs="Arial"/>
                <w:sz w:val="20"/>
                <w:szCs w:val="20"/>
              </w:rPr>
            </w:pPr>
            <w:r w:rsidRPr="00324820">
              <w:rPr>
                <w:rFonts w:cs="Arial"/>
                <w:sz w:val="20"/>
                <w:szCs w:val="20"/>
              </w:rPr>
              <w:t>23.</w:t>
            </w:r>
          </w:p>
        </w:tc>
        <w:tc>
          <w:tcPr>
            <w:tcW w:w="5596" w:type="dxa"/>
            <w:vAlign w:val="center"/>
            <w:hideMark/>
          </w:tcPr>
          <w:p w14:paraId="00363266" w14:textId="77777777" w:rsidR="008713E7" w:rsidRPr="00F97931" w:rsidRDefault="008713E7" w:rsidP="008713E7">
            <w:pPr>
              <w:rPr>
                <w:rFonts w:cs="Arial"/>
                <w:sz w:val="20"/>
                <w:szCs w:val="20"/>
              </w:rPr>
            </w:pPr>
            <w:r w:rsidRPr="00F97931">
              <w:rPr>
                <w:rFonts w:cs="Arial"/>
                <w:sz w:val="20"/>
                <w:szCs w:val="20"/>
              </w:rPr>
              <w:t>Stankovci</w:t>
            </w:r>
          </w:p>
        </w:tc>
        <w:tc>
          <w:tcPr>
            <w:tcW w:w="1842" w:type="dxa"/>
            <w:vAlign w:val="center"/>
            <w:hideMark/>
          </w:tcPr>
          <w:p w14:paraId="3A38221C"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168168B6"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03D0F258" w14:textId="77777777" w:rsidTr="001F3738">
        <w:trPr>
          <w:trHeight w:val="288"/>
          <w:jc w:val="center"/>
        </w:trPr>
        <w:tc>
          <w:tcPr>
            <w:tcW w:w="495" w:type="dxa"/>
            <w:vAlign w:val="center"/>
            <w:hideMark/>
          </w:tcPr>
          <w:p w14:paraId="3909A777" w14:textId="77777777" w:rsidR="008713E7" w:rsidRPr="00324820" w:rsidRDefault="008713E7" w:rsidP="008713E7">
            <w:pPr>
              <w:rPr>
                <w:rFonts w:cs="Arial"/>
                <w:sz w:val="20"/>
                <w:szCs w:val="20"/>
              </w:rPr>
            </w:pPr>
            <w:r w:rsidRPr="00324820">
              <w:rPr>
                <w:rFonts w:cs="Arial"/>
                <w:sz w:val="20"/>
                <w:szCs w:val="20"/>
              </w:rPr>
              <w:t>24.</w:t>
            </w:r>
          </w:p>
        </w:tc>
        <w:tc>
          <w:tcPr>
            <w:tcW w:w="5596" w:type="dxa"/>
            <w:vAlign w:val="center"/>
            <w:hideMark/>
          </w:tcPr>
          <w:p w14:paraId="426A440A" w14:textId="77777777" w:rsidR="008713E7" w:rsidRPr="00F97931" w:rsidRDefault="008713E7" w:rsidP="008713E7">
            <w:pPr>
              <w:rPr>
                <w:rFonts w:cs="Arial"/>
                <w:sz w:val="20"/>
                <w:szCs w:val="20"/>
              </w:rPr>
            </w:pPr>
            <w:r w:rsidRPr="00F97931">
              <w:rPr>
                <w:rFonts w:cs="Arial"/>
                <w:sz w:val="20"/>
                <w:szCs w:val="20"/>
              </w:rPr>
              <w:t>Stara Gradiška</w:t>
            </w:r>
          </w:p>
        </w:tc>
        <w:tc>
          <w:tcPr>
            <w:tcW w:w="1842" w:type="dxa"/>
            <w:vAlign w:val="center"/>
            <w:hideMark/>
          </w:tcPr>
          <w:p w14:paraId="01C11C3D"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6864F326"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68D36FC2" w14:textId="77777777" w:rsidTr="001F3738">
        <w:trPr>
          <w:trHeight w:val="288"/>
          <w:jc w:val="center"/>
        </w:trPr>
        <w:tc>
          <w:tcPr>
            <w:tcW w:w="495" w:type="dxa"/>
            <w:vAlign w:val="center"/>
            <w:hideMark/>
          </w:tcPr>
          <w:p w14:paraId="01EDD5EA" w14:textId="77777777" w:rsidR="008713E7" w:rsidRPr="00324820" w:rsidRDefault="008713E7" w:rsidP="008713E7">
            <w:pPr>
              <w:rPr>
                <w:rFonts w:cs="Arial"/>
                <w:sz w:val="20"/>
                <w:szCs w:val="20"/>
              </w:rPr>
            </w:pPr>
            <w:r w:rsidRPr="00324820">
              <w:rPr>
                <w:rFonts w:cs="Arial"/>
                <w:sz w:val="20"/>
                <w:szCs w:val="20"/>
              </w:rPr>
              <w:t>25.</w:t>
            </w:r>
          </w:p>
        </w:tc>
        <w:tc>
          <w:tcPr>
            <w:tcW w:w="5596" w:type="dxa"/>
            <w:vAlign w:val="center"/>
            <w:hideMark/>
          </w:tcPr>
          <w:p w14:paraId="1C343179" w14:textId="77777777" w:rsidR="008713E7" w:rsidRPr="00F97931" w:rsidRDefault="008713E7" w:rsidP="008713E7">
            <w:pPr>
              <w:rPr>
                <w:rFonts w:cs="Arial"/>
                <w:sz w:val="20"/>
                <w:szCs w:val="20"/>
              </w:rPr>
            </w:pPr>
            <w:r w:rsidRPr="00F97931">
              <w:rPr>
                <w:rFonts w:cs="Arial"/>
                <w:sz w:val="20"/>
                <w:szCs w:val="20"/>
              </w:rPr>
              <w:t>Ston</w:t>
            </w:r>
          </w:p>
        </w:tc>
        <w:tc>
          <w:tcPr>
            <w:tcW w:w="1842" w:type="dxa"/>
            <w:vAlign w:val="center"/>
            <w:hideMark/>
          </w:tcPr>
          <w:p w14:paraId="195AC308"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49F8CCBE"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0A85068F" w14:textId="77777777" w:rsidTr="001F3738">
        <w:trPr>
          <w:trHeight w:val="288"/>
          <w:jc w:val="center"/>
        </w:trPr>
        <w:tc>
          <w:tcPr>
            <w:tcW w:w="495" w:type="dxa"/>
            <w:vAlign w:val="center"/>
            <w:hideMark/>
          </w:tcPr>
          <w:p w14:paraId="12736468" w14:textId="77777777" w:rsidR="008713E7" w:rsidRPr="00324820" w:rsidRDefault="008713E7" w:rsidP="008713E7">
            <w:pPr>
              <w:rPr>
                <w:rFonts w:cs="Arial"/>
                <w:sz w:val="20"/>
                <w:szCs w:val="20"/>
              </w:rPr>
            </w:pPr>
            <w:r w:rsidRPr="00324820">
              <w:rPr>
                <w:rFonts w:cs="Arial"/>
                <w:sz w:val="20"/>
                <w:szCs w:val="20"/>
              </w:rPr>
              <w:t>26.</w:t>
            </w:r>
          </w:p>
        </w:tc>
        <w:tc>
          <w:tcPr>
            <w:tcW w:w="5596" w:type="dxa"/>
            <w:vAlign w:val="center"/>
            <w:hideMark/>
          </w:tcPr>
          <w:p w14:paraId="6FDFB814" w14:textId="77777777" w:rsidR="008713E7" w:rsidRPr="00F97931" w:rsidRDefault="008713E7" w:rsidP="008713E7">
            <w:pPr>
              <w:rPr>
                <w:rFonts w:cs="Arial"/>
                <w:sz w:val="20"/>
                <w:szCs w:val="20"/>
              </w:rPr>
            </w:pPr>
            <w:r w:rsidRPr="00F97931">
              <w:rPr>
                <w:rFonts w:cs="Arial"/>
                <w:sz w:val="20"/>
                <w:szCs w:val="20"/>
              </w:rPr>
              <w:t>Strizivojna</w:t>
            </w:r>
          </w:p>
        </w:tc>
        <w:tc>
          <w:tcPr>
            <w:tcW w:w="1842" w:type="dxa"/>
            <w:vAlign w:val="center"/>
            <w:hideMark/>
          </w:tcPr>
          <w:p w14:paraId="74A5D059"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1836D48E"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7A9DF975" w14:textId="77777777" w:rsidTr="001F3738">
        <w:trPr>
          <w:trHeight w:val="288"/>
          <w:jc w:val="center"/>
        </w:trPr>
        <w:tc>
          <w:tcPr>
            <w:tcW w:w="495" w:type="dxa"/>
            <w:vAlign w:val="center"/>
            <w:hideMark/>
          </w:tcPr>
          <w:p w14:paraId="2C594D8E" w14:textId="77777777" w:rsidR="008713E7" w:rsidRPr="00324820" w:rsidRDefault="008713E7" w:rsidP="008713E7">
            <w:pPr>
              <w:rPr>
                <w:rFonts w:cs="Arial"/>
                <w:sz w:val="20"/>
                <w:szCs w:val="20"/>
              </w:rPr>
            </w:pPr>
            <w:r w:rsidRPr="00324820">
              <w:rPr>
                <w:rFonts w:cs="Arial"/>
                <w:sz w:val="20"/>
                <w:szCs w:val="20"/>
              </w:rPr>
              <w:t>27.</w:t>
            </w:r>
          </w:p>
        </w:tc>
        <w:tc>
          <w:tcPr>
            <w:tcW w:w="5596" w:type="dxa"/>
            <w:vAlign w:val="center"/>
            <w:hideMark/>
          </w:tcPr>
          <w:p w14:paraId="7900FD80" w14:textId="77777777" w:rsidR="008713E7" w:rsidRPr="00F97931" w:rsidRDefault="008713E7" w:rsidP="008713E7">
            <w:pPr>
              <w:rPr>
                <w:rFonts w:cs="Arial"/>
                <w:sz w:val="20"/>
                <w:szCs w:val="20"/>
              </w:rPr>
            </w:pPr>
            <w:r w:rsidRPr="00F97931">
              <w:rPr>
                <w:rFonts w:cs="Arial"/>
                <w:sz w:val="20"/>
                <w:szCs w:val="20"/>
              </w:rPr>
              <w:t>Sukošan</w:t>
            </w:r>
          </w:p>
        </w:tc>
        <w:tc>
          <w:tcPr>
            <w:tcW w:w="1842" w:type="dxa"/>
            <w:vAlign w:val="center"/>
            <w:hideMark/>
          </w:tcPr>
          <w:p w14:paraId="360A0B31"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3A5C1BA9"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20272D38" w14:textId="77777777" w:rsidTr="001F3738">
        <w:trPr>
          <w:trHeight w:val="288"/>
          <w:jc w:val="center"/>
        </w:trPr>
        <w:tc>
          <w:tcPr>
            <w:tcW w:w="495" w:type="dxa"/>
            <w:vAlign w:val="center"/>
            <w:hideMark/>
          </w:tcPr>
          <w:p w14:paraId="19780042" w14:textId="77777777" w:rsidR="008713E7" w:rsidRPr="00324820" w:rsidRDefault="008713E7" w:rsidP="008713E7">
            <w:pPr>
              <w:rPr>
                <w:rFonts w:cs="Arial"/>
                <w:sz w:val="20"/>
                <w:szCs w:val="20"/>
              </w:rPr>
            </w:pPr>
            <w:r w:rsidRPr="00324820">
              <w:rPr>
                <w:rFonts w:cs="Arial"/>
                <w:sz w:val="20"/>
                <w:szCs w:val="20"/>
              </w:rPr>
              <w:t>28.</w:t>
            </w:r>
          </w:p>
        </w:tc>
        <w:tc>
          <w:tcPr>
            <w:tcW w:w="5596" w:type="dxa"/>
            <w:vAlign w:val="center"/>
            <w:hideMark/>
          </w:tcPr>
          <w:p w14:paraId="2BAE961B" w14:textId="24AEB0BB" w:rsidR="008713E7" w:rsidRPr="00F97931" w:rsidRDefault="00236D26" w:rsidP="008713E7">
            <w:pPr>
              <w:rPr>
                <w:rFonts w:cs="Arial"/>
                <w:sz w:val="20"/>
                <w:szCs w:val="20"/>
              </w:rPr>
            </w:pPr>
            <w:r>
              <w:rPr>
                <w:rFonts w:cs="Arial"/>
                <w:sz w:val="20"/>
                <w:szCs w:val="20"/>
              </w:rPr>
              <w:t>Tar –</w:t>
            </w:r>
            <w:r w:rsidR="008713E7" w:rsidRPr="00F97931">
              <w:rPr>
                <w:rFonts w:cs="Arial"/>
                <w:sz w:val="20"/>
                <w:szCs w:val="20"/>
              </w:rPr>
              <w:t xml:space="preserve"> Vabriga</w:t>
            </w:r>
          </w:p>
        </w:tc>
        <w:tc>
          <w:tcPr>
            <w:tcW w:w="1842" w:type="dxa"/>
            <w:vAlign w:val="center"/>
            <w:hideMark/>
          </w:tcPr>
          <w:p w14:paraId="63C15123"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0A52A8EC"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336DBC05" w14:textId="77777777" w:rsidTr="001F3738">
        <w:trPr>
          <w:trHeight w:val="288"/>
          <w:jc w:val="center"/>
        </w:trPr>
        <w:tc>
          <w:tcPr>
            <w:tcW w:w="495" w:type="dxa"/>
            <w:vAlign w:val="center"/>
            <w:hideMark/>
          </w:tcPr>
          <w:p w14:paraId="19FE7BC3" w14:textId="77777777" w:rsidR="008713E7" w:rsidRPr="00324820" w:rsidRDefault="008713E7" w:rsidP="008713E7">
            <w:pPr>
              <w:rPr>
                <w:rFonts w:cs="Arial"/>
                <w:sz w:val="20"/>
                <w:szCs w:val="20"/>
              </w:rPr>
            </w:pPr>
            <w:r w:rsidRPr="00324820">
              <w:rPr>
                <w:rFonts w:cs="Arial"/>
                <w:sz w:val="20"/>
                <w:szCs w:val="20"/>
              </w:rPr>
              <w:t>29.</w:t>
            </w:r>
          </w:p>
        </w:tc>
        <w:tc>
          <w:tcPr>
            <w:tcW w:w="5596" w:type="dxa"/>
            <w:vAlign w:val="center"/>
            <w:hideMark/>
          </w:tcPr>
          <w:p w14:paraId="52DEA714" w14:textId="77777777" w:rsidR="008713E7" w:rsidRPr="00F97931" w:rsidRDefault="008713E7" w:rsidP="008713E7">
            <w:pPr>
              <w:rPr>
                <w:rFonts w:cs="Arial"/>
                <w:sz w:val="20"/>
                <w:szCs w:val="20"/>
              </w:rPr>
            </w:pPr>
            <w:r w:rsidRPr="00F97931">
              <w:rPr>
                <w:rFonts w:cs="Arial"/>
                <w:sz w:val="20"/>
                <w:szCs w:val="20"/>
              </w:rPr>
              <w:t>Topusko</w:t>
            </w:r>
          </w:p>
        </w:tc>
        <w:tc>
          <w:tcPr>
            <w:tcW w:w="1842" w:type="dxa"/>
            <w:vAlign w:val="center"/>
            <w:hideMark/>
          </w:tcPr>
          <w:p w14:paraId="42BC8FCB"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56E53D4E"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1E38B8A1" w14:textId="77777777" w:rsidTr="001F3738">
        <w:trPr>
          <w:trHeight w:val="288"/>
          <w:jc w:val="center"/>
        </w:trPr>
        <w:tc>
          <w:tcPr>
            <w:tcW w:w="495" w:type="dxa"/>
            <w:vAlign w:val="center"/>
            <w:hideMark/>
          </w:tcPr>
          <w:p w14:paraId="13D2C7C3" w14:textId="77777777" w:rsidR="008713E7" w:rsidRPr="00324820" w:rsidRDefault="008713E7" w:rsidP="008713E7">
            <w:pPr>
              <w:rPr>
                <w:rFonts w:cs="Arial"/>
                <w:sz w:val="20"/>
                <w:szCs w:val="20"/>
              </w:rPr>
            </w:pPr>
            <w:r w:rsidRPr="00324820">
              <w:rPr>
                <w:rFonts w:cs="Arial"/>
                <w:sz w:val="20"/>
                <w:szCs w:val="20"/>
              </w:rPr>
              <w:t>30.</w:t>
            </w:r>
          </w:p>
        </w:tc>
        <w:tc>
          <w:tcPr>
            <w:tcW w:w="5596" w:type="dxa"/>
            <w:vAlign w:val="center"/>
            <w:hideMark/>
          </w:tcPr>
          <w:p w14:paraId="1846434F" w14:textId="77777777" w:rsidR="008713E7" w:rsidRPr="00F97931" w:rsidRDefault="008713E7" w:rsidP="008713E7">
            <w:pPr>
              <w:rPr>
                <w:rFonts w:cs="Arial"/>
                <w:sz w:val="20"/>
                <w:szCs w:val="20"/>
              </w:rPr>
            </w:pPr>
            <w:r w:rsidRPr="00F97931">
              <w:rPr>
                <w:rFonts w:cs="Arial"/>
                <w:sz w:val="20"/>
                <w:szCs w:val="20"/>
              </w:rPr>
              <w:t>Trnovec Bartolovečki</w:t>
            </w:r>
          </w:p>
        </w:tc>
        <w:tc>
          <w:tcPr>
            <w:tcW w:w="1842" w:type="dxa"/>
            <w:vAlign w:val="center"/>
            <w:hideMark/>
          </w:tcPr>
          <w:p w14:paraId="5A90DB67"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023DF6FB"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2B54807B" w14:textId="77777777" w:rsidTr="001F3738">
        <w:trPr>
          <w:trHeight w:val="288"/>
          <w:jc w:val="center"/>
        </w:trPr>
        <w:tc>
          <w:tcPr>
            <w:tcW w:w="495" w:type="dxa"/>
            <w:vAlign w:val="center"/>
            <w:hideMark/>
          </w:tcPr>
          <w:p w14:paraId="010FA9DF" w14:textId="77777777" w:rsidR="008713E7" w:rsidRPr="00324820" w:rsidRDefault="008713E7" w:rsidP="008713E7">
            <w:pPr>
              <w:rPr>
                <w:rFonts w:cs="Arial"/>
                <w:sz w:val="20"/>
                <w:szCs w:val="20"/>
              </w:rPr>
            </w:pPr>
            <w:r w:rsidRPr="00324820">
              <w:rPr>
                <w:rFonts w:cs="Arial"/>
                <w:sz w:val="20"/>
                <w:szCs w:val="20"/>
              </w:rPr>
              <w:t>31.</w:t>
            </w:r>
          </w:p>
        </w:tc>
        <w:tc>
          <w:tcPr>
            <w:tcW w:w="5596" w:type="dxa"/>
            <w:vAlign w:val="center"/>
            <w:hideMark/>
          </w:tcPr>
          <w:p w14:paraId="50F48F07" w14:textId="77777777" w:rsidR="008713E7" w:rsidRPr="00F97931" w:rsidRDefault="008713E7" w:rsidP="008713E7">
            <w:pPr>
              <w:rPr>
                <w:rFonts w:cs="Arial"/>
                <w:sz w:val="20"/>
                <w:szCs w:val="20"/>
              </w:rPr>
            </w:pPr>
            <w:r w:rsidRPr="00F97931">
              <w:rPr>
                <w:rFonts w:cs="Arial"/>
                <w:sz w:val="20"/>
                <w:szCs w:val="20"/>
              </w:rPr>
              <w:t>Velika Pisanica</w:t>
            </w:r>
          </w:p>
        </w:tc>
        <w:tc>
          <w:tcPr>
            <w:tcW w:w="1842" w:type="dxa"/>
            <w:vAlign w:val="center"/>
            <w:hideMark/>
          </w:tcPr>
          <w:p w14:paraId="511FD02B"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4C81D1A5"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3781198A" w14:textId="77777777" w:rsidTr="001F3738">
        <w:trPr>
          <w:trHeight w:val="288"/>
          <w:jc w:val="center"/>
        </w:trPr>
        <w:tc>
          <w:tcPr>
            <w:tcW w:w="495" w:type="dxa"/>
            <w:vAlign w:val="center"/>
            <w:hideMark/>
          </w:tcPr>
          <w:p w14:paraId="63D1CAD8" w14:textId="77777777" w:rsidR="008713E7" w:rsidRPr="00324820" w:rsidRDefault="008713E7" w:rsidP="008713E7">
            <w:pPr>
              <w:rPr>
                <w:rFonts w:cs="Arial"/>
                <w:sz w:val="20"/>
                <w:szCs w:val="20"/>
              </w:rPr>
            </w:pPr>
            <w:r w:rsidRPr="00324820">
              <w:rPr>
                <w:rFonts w:cs="Arial"/>
                <w:sz w:val="20"/>
                <w:szCs w:val="20"/>
              </w:rPr>
              <w:t>32.</w:t>
            </w:r>
          </w:p>
        </w:tc>
        <w:tc>
          <w:tcPr>
            <w:tcW w:w="5596" w:type="dxa"/>
            <w:vAlign w:val="center"/>
            <w:hideMark/>
          </w:tcPr>
          <w:p w14:paraId="025FAA59" w14:textId="77777777" w:rsidR="008713E7" w:rsidRPr="00F97931" w:rsidRDefault="008713E7" w:rsidP="008713E7">
            <w:pPr>
              <w:rPr>
                <w:rFonts w:cs="Arial"/>
                <w:sz w:val="20"/>
                <w:szCs w:val="20"/>
              </w:rPr>
            </w:pPr>
            <w:r w:rsidRPr="00F97931">
              <w:rPr>
                <w:rFonts w:cs="Arial"/>
                <w:sz w:val="20"/>
                <w:szCs w:val="20"/>
              </w:rPr>
              <w:t>Velika Trnovitica</w:t>
            </w:r>
          </w:p>
        </w:tc>
        <w:tc>
          <w:tcPr>
            <w:tcW w:w="1842" w:type="dxa"/>
            <w:vAlign w:val="center"/>
            <w:hideMark/>
          </w:tcPr>
          <w:p w14:paraId="2B16BEB2"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229E8C82"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6B6816E1" w14:textId="77777777" w:rsidTr="001F3738">
        <w:trPr>
          <w:trHeight w:val="288"/>
          <w:jc w:val="center"/>
        </w:trPr>
        <w:tc>
          <w:tcPr>
            <w:tcW w:w="495" w:type="dxa"/>
            <w:vAlign w:val="center"/>
            <w:hideMark/>
          </w:tcPr>
          <w:p w14:paraId="6EBD9374" w14:textId="77777777" w:rsidR="008713E7" w:rsidRPr="00324820" w:rsidRDefault="008713E7" w:rsidP="008713E7">
            <w:pPr>
              <w:rPr>
                <w:rFonts w:cs="Arial"/>
                <w:sz w:val="20"/>
                <w:szCs w:val="20"/>
              </w:rPr>
            </w:pPr>
            <w:r w:rsidRPr="00324820">
              <w:rPr>
                <w:rFonts w:cs="Arial"/>
                <w:sz w:val="20"/>
                <w:szCs w:val="20"/>
              </w:rPr>
              <w:t>33.</w:t>
            </w:r>
          </w:p>
        </w:tc>
        <w:tc>
          <w:tcPr>
            <w:tcW w:w="5596" w:type="dxa"/>
            <w:vAlign w:val="center"/>
            <w:hideMark/>
          </w:tcPr>
          <w:p w14:paraId="79CEBE8D" w14:textId="77777777" w:rsidR="008713E7" w:rsidRPr="00F97931" w:rsidRDefault="008713E7" w:rsidP="008713E7">
            <w:pPr>
              <w:rPr>
                <w:rFonts w:cs="Arial"/>
                <w:sz w:val="20"/>
                <w:szCs w:val="20"/>
              </w:rPr>
            </w:pPr>
            <w:r w:rsidRPr="00F97931">
              <w:rPr>
                <w:rFonts w:cs="Arial"/>
                <w:sz w:val="20"/>
                <w:szCs w:val="20"/>
              </w:rPr>
              <w:t>Vrhovine</w:t>
            </w:r>
          </w:p>
        </w:tc>
        <w:tc>
          <w:tcPr>
            <w:tcW w:w="1842" w:type="dxa"/>
            <w:vAlign w:val="center"/>
            <w:hideMark/>
          </w:tcPr>
          <w:p w14:paraId="0B711958"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0CE5EAA9"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3FC11F29" w14:textId="77777777" w:rsidTr="001F3738">
        <w:trPr>
          <w:trHeight w:val="288"/>
          <w:jc w:val="center"/>
        </w:trPr>
        <w:tc>
          <w:tcPr>
            <w:tcW w:w="495" w:type="dxa"/>
            <w:vAlign w:val="center"/>
            <w:hideMark/>
          </w:tcPr>
          <w:p w14:paraId="1342AC81" w14:textId="77777777" w:rsidR="008713E7" w:rsidRPr="00324820" w:rsidRDefault="008713E7" w:rsidP="008713E7">
            <w:pPr>
              <w:rPr>
                <w:rFonts w:cs="Arial"/>
                <w:sz w:val="20"/>
                <w:szCs w:val="20"/>
              </w:rPr>
            </w:pPr>
            <w:r w:rsidRPr="00324820">
              <w:rPr>
                <w:rFonts w:cs="Arial"/>
                <w:sz w:val="20"/>
                <w:szCs w:val="20"/>
              </w:rPr>
              <w:t>34.</w:t>
            </w:r>
          </w:p>
        </w:tc>
        <w:tc>
          <w:tcPr>
            <w:tcW w:w="5596" w:type="dxa"/>
            <w:vAlign w:val="center"/>
            <w:hideMark/>
          </w:tcPr>
          <w:p w14:paraId="7FE08097" w14:textId="405E0E56" w:rsidR="008713E7" w:rsidRPr="00324820" w:rsidRDefault="00A461D5" w:rsidP="008713E7">
            <w:pPr>
              <w:rPr>
                <w:rFonts w:cs="Arial"/>
                <w:sz w:val="20"/>
                <w:szCs w:val="20"/>
              </w:rPr>
            </w:pPr>
            <w:r>
              <w:rPr>
                <w:rFonts w:cs="Arial"/>
                <w:sz w:val="20"/>
                <w:szCs w:val="20"/>
              </w:rPr>
              <w:t>Vrsar –</w:t>
            </w:r>
            <w:r w:rsidR="008713E7" w:rsidRPr="00324820">
              <w:rPr>
                <w:rFonts w:cs="Arial"/>
                <w:sz w:val="20"/>
                <w:szCs w:val="20"/>
              </w:rPr>
              <w:t xml:space="preserve"> Orsera</w:t>
            </w:r>
          </w:p>
        </w:tc>
        <w:tc>
          <w:tcPr>
            <w:tcW w:w="1842" w:type="dxa"/>
            <w:vAlign w:val="center"/>
            <w:hideMark/>
          </w:tcPr>
          <w:p w14:paraId="62B215BE"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64F901A6"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078F4C3B" w14:textId="77777777" w:rsidTr="001F3738">
        <w:trPr>
          <w:trHeight w:val="288"/>
          <w:jc w:val="center"/>
        </w:trPr>
        <w:tc>
          <w:tcPr>
            <w:tcW w:w="9776" w:type="dxa"/>
            <w:gridSpan w:val="4"/>
            <w:shd w:val="clear" w:color="auto" w:fill="D9D9D9" w:themeFill="background1" w:themeFillShade="D9"/>
            <w:vAlign w:val="center"/>
            <w:hideMark/>
          </w:tcPr>
          <w:p w14:paraId="6ED54A46" w14:textId="332A4B94" w:rsidR="008713E7" w:rsidRPr="00820BCA" w:rsidRDefault="008713E7" w:rsidP="008713E7">
            <w:pPr>
              <w:rPr>
                <w:rFonts w:cs="Arial"/>
                <w:b/>
                <w:sz w:val="20"/>
                <w:szCs w:val="20"/>
              </w:rPr>
            </w:pPr>
            <w:r>
              <w:rPr>
                <w:rFonts w:cs="Arial"/>
                <w:b/>
                <w:sz w:val="20"/>
                <w:szCs w:val="20"/>
              </w:rPr>
              <w:t xml:space="preserve">         </w:t>
            </w:r>
            <w:r w:rsidR="00076E73">
              <w:rPr>
                <w:rFonts w:cs="Arial"/>
                <w:b/>
                <w:sz w:val="20"/>
                <w:szCs w:val="20"/>
              </w:rPr>
              <w:t xml:space="preserve">Proračunski korisnici </w:t>
            </w:r>
            <w:r w:rsidRPr="00820BCA">
              <w:rPr>
                <w:rFonts w:cs="Arial"/>
                <w:b/>
                <w:sz w:val="20"/>
                <w:szCs w:val="20"/>
              </w:rPr>
              <w:t>JLP(R)S</w:t>
            </w:r>
          </w:p>
        </w:tc>
      </w:tr>
      <w:tr w:rsidR="008713E7" w:rsidRPr="00324820" w14:paraId="09F8C537" w14:textId="77777777" w:rsidTr="001F3738">
        <w:trPr>
          <w:trHeight w:val="288"/>
          <w:jc w:val="center"/>
        </w:trPr>
        <w:tc>
          <w:tcPr>
            <w:tcW w:w="495" w:type="dxa"/>
            <w:vAlign w:val="center"/>
            <w:hideMark/>
          </w:tcPr>
          <w:p w14:paraId="1F6C1D05" w14:textId="77777777" w:rsidR="008713E7" w:rsidRPr="00324820" w:rsidRDefault="008713E7" w:rsidP="008713E7">
            <w:pPr>
              <w:rPr>
                <w:rFonts w:cs="Arial"/>
                <w:sz w:val="20"/>
                <w:szCs w:val="20"/>
              </w:rPr>
            </w:pPr>
            <w:r w:rsidRPr="00324820">
              <w:rPr>
                <w:rFonts w:cs="Arial"/>
                <w:sz w:val="20"/>
                <w:szCs w:val="20"/>
              </w:rPr>
              <w:t>1.</w:t>
            </w:r>
          </w:p>
        </w:tc>
        <w:tc>
          <w:tcPr>
            <w:tcW w:w="5596" w:type="dxa"/>
            <w:vAlign w:val="center"/>
            <w:hideMark/>
          </w:tcPr>
          <w:p w14:paraId="11A21B64" w14:textId="77777777" w:rsidR="008713E7" w:rsidRPr="00324820" w:rsidRDefault="008713E7" w:rsidP="008713E7">
            <w:pPr>
              <w:rPr>
                <w:rFonts w:cs="Arial"/>
                <w:sz w:val="20"/>
                <w:szCs w:val="20"/>
              </w:rPr>
            </w:pPr>
            <w:r w:rsidRPr="00324820">
              <w:rPr>
                <w:rFonts w:cs="Arial"/>
                <w:sz w:val="20"/>
                <w:szCs w:val="20"/>
              </w:rPr>
              <w:t>Dječji vrtić Bambi, Nijemci</w:t>
            </w:r>
          </w:p>
        </w:tc>
        <w:tc>
          <w:tcPr>
            <w:tcW w:w="1842" w:type="dxa"/>
            <w:vAlign w:val="center"/>
            <w:hideMark/>
          </w:tcPr>
          <w:p w14:paraId="13018540"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3C61AB63"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7B753DB0" w14:textId="77777777" w:rsidTr="001F3738">
        <w:trPr>
          <w:trHeight w:val="288"/>
          <w:jc w:val="center"/>
        </w:trPr>
        <w:tc>
          <w:tcPr>
            <w:tcW w:w="495" w:type="dxa"/>
            <w:vAlign w:val="center"/>
            <w:hideMark/>
          </w:tcPr>
          <w:p w14:paraId="27B29710" w14:textId="77777777" w:rsidR="008713E7" w:rsidRPr="00324820" w:rsidRDefault="008713E7" w:rsidP="008713E7">
            <w:pPr>
              <w:rPr>
                <w:rFonts w:cs="Arial"/>
                <w:sz w:val="20"/>
                <w:szCs w:val="20"/>
              </w:rPr>
            </w:pPr>
            <w:r w:rsidRPr="00324820">
              <w:rPr>
                <w:rFonts w:cs="Arial"/>
                <w:sz w:val="20"/>
                <w:szCs w:val="20"/>
              </w:rPr>
              <w:t>2.</w:t>
            </w:r>
          </w:p>
        </w:tc>
        <w:tc>
          <w:tcPr>
            <w:tcW w:w="5596" w:type="dxa"/>
            <w:vAlign w:val="center"/>
            <w:hideMark/>
          </w:tcPr>
          <w:p w14:paraId="095A109D" w14:textId="77777777" w:rsidR="008713E7" w:rsidRPr="00324820" w:rsidRDefault="008713E7" w:rsidP="008713E7">
            <w:pPr>
              <w:rPr>
                <w:rFonts w:cs="Arial"/>
                <w:sz w:val="20"/>
                <w:szCs w:val="20"/>
              </w:rPr>
            </w:pPr>
            <w:r w:rsidRPr="00324820">
              <w:rPr>
                <w:rFonts w:cs="Arial"/>
                <w:sz w:val="20"/>
                <w:szCs w:val="20"/>
              </w:rPr>
              <w:t>Ekonomska i upravna škola, Split</w:t>
            </w:r>
          </w:p>
        </w:tc>
        <w:tc>
          <w:tcPr>
            <w:tcW w:w="1842" w:type="dxa"/>
            <w:vAlign w:val="center"/>
            <w:hideMark/>
          </w:tcPr>
          <w:p w14:paraId="5F3C1BAB"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1FFE57A6"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15ED76C0" w14:textId="77777777" w:rsidTr="001F3738">
        <w:trPr>
          <w:trHeight w:val="288"/>
          <w:jc w:val="center"/>
        </w:trPr>
        <w:tc>
          <w:tcPr>
            <w:tcW w:w="495" w:type="dxa"/>
            <w:vAlign w:val="center"/>
            <w:hideMark/>
          </w:tcPr>
          <w:p w14:paraId="5BCC8697" w14:textId="77777777" w:rsidR="008713E7" w:rsidRPr="00324820" w:rsidRDefault="008713E7" w:rsidP="008713E7">
            <w:pPr>
              <w:rPr>
                <w:rFonts w:cs="Arial"/>
                <w:sz w:val="20"/>
                <w:szCs w:val="20"/>
              </w:rPr>
            </w:pPr>
            <w:r w:rsidRPr="00324820">
              <w:rPr>
                <w:rFonts w:cs="Arial"/>
                <w:sz w:val="20"/>
                <w:szCs w:val="20"/>
              </w:rPr>
              <w:t>3.</w:t>
            </w:r>
          </w:p>
        </w:tc>
        <w:tc>
          <w:tcPr>
            <w:tcW w:w="5596" w:type="dxa"/>
            <w:vAlign w:val="center"/>
            <w:hideMark/>
          </w:tcPr>
          <w:p w14:paraId="50544039" w14:textId="77777777" w:rsidR="008713E7" w:rsidRPr="00324820" w:rsidRDefault="008713E7" w:rsidP="008713E7">
            <w:pPr>
              <w:rPr>
                <w:rFonts w:cs="Arial"/>
                <w:sz w:val="20"/>
                <w:szCs w:val="20"/>
              </w:rPr>
            </w:pPr>
            <w:r w:rsidRPr="00324820">
              <w:rPr>
                <w:rFonts w:cs="Arial"/>
                <w:sz w:val="20"/>
                <w:szCs w:val="20"/>
              </w:rPr>
              <w:t xml:space="preserve">Javna ustanova za upravljanje Park-šumom Marjan, Split </w:t>
            </w:r>
          </w:p>
        </w:tc>
        <w:tc>
          <w:tcPr>
            <w:tcW w:w="1842" w:type="dxa"/>
            <w:vAlign w:val="center"/>
            <w:hideMark/>
          </w:tcPr>
          <w:p w14:paraId="4B309DBA"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231FCC4D"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0B2268E4" w14:textId="77777777" w:rsidTr="001F3738">
        <w:trPr>
          <w:trHeight w:val="288"/>
          <w:jc w:val="center"/>
        </w:trPr>
        <w:tc>
          <w:tcPr>
            <w:tcW w:w="495" w:type="dxa"/>
            <w:vAlign w:val="center"/>
            <w:hideMark/>
          </w:tcPr>
          <w:p w14:paraId="51F14FE2" w14:textId="77777777" w:rsidR="008713E7" w:rsidRPr="00324820" w:rsidRDefault="008713E7" w:rsidP="008713E7">
            <w:pPr>
              <w:rPr>
                <w:rFonts w:cs="Arial"/>
                <w:sz w:val="20"/>
                <w:szCs w:val="20"/>
              </w:rPr>
            </w:pPr>
            <w:r w:rsidRPr="00324820">
              <w:rPr>
                <w:rFonts w:cs="Arial"/>
                <w:sz w:val="20"/>
                <w:szCs w:val="20"/>
              </w:rPr>
              <w:t>4.</w:t>
            </w:r>
          </w:p>
        </w:tc>
        <w:tc>
          <w:tcPr>
            <w:tcW w:w="5596" w:type="dxa"/>
            <w:vAlign w:val="center"/>
            <w:hideMark/>
          </w:tcPr>
          <w:p w14:paraId="31926A6B" w14:textId="77777777" w:rsidR="008713E7" w:rsidRPr="00324820" w:rsidRDefault="008713E7" w:rsidP="008713E7">
            <w:pPr>
              <w:rPr>
                <w:rFonts w:cs="Arial"/>
                <w:sz w:val="20"/>
                <w:szCs w:val="20"/>
              </w:rPr>
            </w:pPr>
            <w:r w:rsidRPr="00324820">
              <w:rPr>
                <w:rFonts w:cs="Arial"/>
                <w:sz w:val="20"/>
                <w:szCs w:val="20"/>
              </w:rPr>
              <w:t>Osnovna škola Fra Kaje Adžića, Pleternica</w:t>
            </w:r>
          </w:p>
        </w:tc>
        <w:tc>
          <w:tcPr>
            <w:tcW w:w="1842" w:type="dxa"/>
            <w:vAlign w:val="center"/>
            <w:hideMark/>
          </w:tcPr>
          <w:p w14:paraId="59095220"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55A08BDC"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579A1568" w14:textId="77777777" w:rsidTr="001F3738">
        <w:trPr>
          <w:trHeight w:val="288"/>
          <w:jc w:val="center"/>
        </w:trPr>
        <w:tc>
          <w:tcPr>
            <w:tcW w:w="495" w:type="dxa"/>
            <w:vAlign w:val="center"/>
            <w:hideMark/>
          </w:tcPr>
          <w:p w14:paraId="421EB0DE" w14:textId="77777777" w:rsidR="008713E7" w:rsidRPr="00324820" w:rsidRDefault="008713E7" w:rsidP="008713E7">
            <w:pPr>
              <w:rPr>
                <w:rFonts w:cs="Arial"/>
                <w:sz w:val="20"/>
                <w:szCs w:val="20"/>
              </w:rPr>
            </w:pPr>
            <w:r w:rsidRPr="00324820">
              <w:rPr>
                <w:rFonts w:cs="Arial"/>
                <w:sz w:val="20"/>
                <w:szCs w:val="20"/>
              </w:rPr>
              <w:t>5.</w:t>
            </w:r>
          </w:p>
        </w:tc>
        <w:tc>
          <w:tcPr>
            <w:tcW w:w="5596" w:type="dxa"/>
            <w:vAlign w:val="center"/>
            <w:hideMark/>
          </w:tcPr>
          <w:p w14:paraId="2E741DC6" w14:textId="77777777" w:rsidR="008713E7" w:rsidRPr="00324820" w:rsidRDefault="008713E7" w:rsidP="008713E7">
            <w:pPr>
              <w:rPr>
                <w:rFonts w:cs="Arial"/>
                <w:sz w:val="20"/>
                <w:szCs w:val="20"/>
              </w:rPr>
            </w:pPr>
            <w:r w:rsidRPr="00324820">
              <w:rPr>
                <w:rFonts w:cs="Arial"/>
                <w:sz w:val="20"/>
                <w:szCs w:val="20"/>
              </w:rPr>
              <w:t>Osnovna škola Matije Gupca, Zagreb</w:t>
            </w:r>
          </w:p>
        </w:tc>
        <w:tc>
          <w:tcPr>
            <w:tcW w:w="1842" w:type="dxa"/>
            <w:vAlign w:val="center"/>
            <w:hideMark/>
          </w:tcPr>
          <w:p w14:paraId="37A708B3" w14:textId="77777777" w:rsidR="008713E7" w:rsidRPr="00324820" w:rsidRDefault="008713E7" w:rsidP="008713E7">
            <w:pPr>
              <w:jc w:val="center"/>
              <w:rPr>
                <w:rFonts w:cs="Arial"/>
                <w:sz w:val="20"/>
                <w:szCs w:val="20"/>
              </w:rPr>
            </w:pPr>
            <w:r w:rsidRPr="00324820">
              <w:rPr>
                <w:rFonts w:cs="Arial"/>
                <w:sz w:val="20"/>
                <w:szCs w:val="20"/>
              </w:rPr>
              <w:t>nepovoljno</w:t>
            </w:r>
          </w:p>
        </w:tc>
        <w:tc>
          <w:tcPr>
            <w:tcW w:w="1843" w:type="dxa"/>
            <w:vAlign w:val="center"/>
            <w:hideMark/>
          </w:tcPr>
          <w:p w14:paraId="1E0597B7"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27BD77CC" w14:textId="77777777" w:rsidTr="001F3738">
        <w:trPr>
          <w:trHeight w:val="288"/>
          <w:jc w:val="center"/>
        </w:trPr>
        <w:tc>
          <w:tcPr>
            <w:tcW w:w="495" w:type="dxa"/>
            <w:vAlign w:val="center"/>
            <w:hideMark/>
          </w:tcPr>
          <w:p w14:paraId="4D340D06" w14:textId="77777777" w:rsidR="008713E7" w:rsidRPr="00324820" w:rsidRDefault="008713E7" w:rsidP="008713E7">
            <w:pPr>
              <w:rPr>
                <w:rFonts w:cs="Arial"/>
                <w:sz w:val="20"/>
                <w:szCs w:val="20"/>
              </w:rPr>
            </w:pPr>
            <w:r w:rsidRPr="00324820">
              <w:rPr>
                <w:rFonts w:cs="Arial"/>
                <w:sz w:val="20"/>
                <w:szCs w:val="20"/>
              </w:rPr>
              <w:t>6.</w:t>
            </w:r>
          </w:p>
        </w:tc>
        <w:tc>
          <w:tcPr>
            <w:tcW w:w="5596" w:type="dxa"/>
            <w:vAlign w:val="center"/>
            <w:hideMark/>
          </w:tcPr>
          <w:p w14:paraId="60E47BA4" w14:textId="77777777" w:rsidR="008713E7" w:rsidRPr="00324820" w:rsidRDefault="008713E7" w:rsidP="008713E7">
            <w:pPr>
              <w:rPr>
                <w:rFonts w:cs="Arial"/>
                <w:sz w:val="20"/>
                <w:szCs w:val="20"/>
              </w:rPr>
            </w:pPr>
            <w:r w:rsidRPr="00324820">
              <w:rPr>
                <w:rFonts w:cs="Arial"/>
                <w:sz w:val="20"/>
                <w:szCs w:val="20"/>
              </w:rPr>
              <w:t>Osnovna škola Mladost, Jakšić</w:t>
            </w:r>
          </w:p>
        </w:tc>
        <w:tc>
          <w:tcPr>
            <w:tcW w:w="1842" w:type="dxa"/>
            <w:vAlign w:val="center"/>
            <w:hideMark/>
          </w:tcPr>
          <w:p w14:paraId="386821F6"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0DEBBCFA"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26478392" w14:textId="77777777" w:rsidTr="001F3738">
        <w:trPr>
          <w:trHeight w:val="288"/>
          <w:jc w:val="center"/>
        </w:trPr>
        <w:tc>
          <w:tcPr>
            <w:tcW w:w="495" w:type="dxa"/>
            <w:vAlign w:val="center"/>
            <w:hideMark/>
          </w:tcPr>
          <w:p w14:paraId="2AA990B2" w14:textId="77777777" w:rsidR="008713E7" w:rsidRPr="00324820" w:rsidRDefault="008713E7" w:rsidP="008713E7">
            <w:pPr>
              <w:rPr>
                <w:rFonts w:cs="Arial"/>
                <w:sz w:val="20"/>
                <w:szCs w:val="20"/>
              </w:rPr>
            </w:pPr>
            <w:r w:rsidRPr="00324820">
              <w:rPr>
                <w:rFonts w:cs="Arial"/>
                <w:sz w:val="20"/>
                <w:szCs w:val="20"/>
              </w:rPr>
              <w:t>7.</w:t>
            </w:r>
          </w:p>
        </w:tc>
        <w:tc>
          <w:tcPr>
            <w:tcW w:w="5596" w:type="dxa"/>
            <w:vAlign w:val="center"/>
            <w:hideMark/>
          </w:tcPr>
          <w:p w14:paraId="4620D05C" w14:textId="77777777" w:rsidR="008713E7" w:rsidRPr="00324820" w:rsidRDefault="008713E7" w:rsidP="008713E7">
            <w:pPr>
              <w:rPr>
                <w:rFonts w:cs="Arial"/>
                <w:sz w:val="20"/>
                <w:szCs w:val="20"/>
              </w:rPr>
            </w:pPr>
            <w:r w:rsidRPr="00324820">
              <w:rPr>
                <w:rFonts w:cs="Arial"/>
                <w:sz w:val="20"/>
                <w:szCs w:val="20"/>
              </w:rPr>
              <w:t>Poljoprivredno-prehrambena škola, Požega</w:t>
            </w:r>
          </w:p>
        </w:tc>
        <w:tc>
          <w:tcPr>
            <w:tcW w:w="1842" w:type="dxa"/>
            <w:vAlign w:val="center"/>
            <w:hideMark/>
          </w:tcPr>
          <w:p w14:paraId="73E62F23"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60AB4A1F"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6A2C2B09" w14:textId="77777777" w:rsidTr="001F3738">
        <w:trPr>
          <w:trHeight w:val="288"/>
          <w:jc w:val="center"/>
        </w:trPr>
        <w:tc>
          <w:tcPr>
            <w:tcW w:w="495" w:type="dxa"/>
            <w:vAlign w:val="center"/>
            <w:hideMark/>
          </w:tcPr>
          <w:p w14:paraId="208F38A1" w14:textId="77777777" w:rsidR="008713E7" w:rsidRPr="00324820" w:rsidRDefault="008713E7" w:rsidP="008713E7">
            <w:pPr>
              <w:rPr>
                <w:rFonts w:cs="Arial"/>
                <w:sz w:val="20"/>
                <w:szCs w:val="20"/>
              </w:rPr>
            </w:pPr>
            <w:r w:rsidRPr="00324820">
              <w:rPr>
                <w:rFonts w:cs="Arial"/>
                <w:sz w:val="20"/>
                <w:szCs w:val="20"/>
              </w:rPr>
              <w:t>8.</w:t>
            </w:r>
          </w:p>
        </w:tc>
        <w:tc>
          <w:tcPr>
            <w:tcW w:w="5596" w:type="dxa"/>
            <w:vAlign w:val="center"/>
            <w:hideMark/>
          </w:tcPr>
          <w:p w14:paraId="317C41FF" w14:textId="77777777" w:rsidR="008713E7" w:rsidRPr="00324820" w:rsidRDefault="008713E7" w:rsidP="008713E7">
            <w:pPr>
              <w:rPr>
                <w:rFonts w:cs="Arial"/>
                <w:sz w:val="20"/>
                <w:szCs w:val="20"/>
              </w:rPr>
            </w:pPr>
            <w:r w:rsidRPr="00324820">
              <w:rPr>
                <w:rFonts w:cs="Arial"/>
                <w:sz w:val="20"/>
                <w:szCs w:val="20"/>
              </w:rPr>
              <w:t>Poljoprivredno šumarska škola Vinkovci</w:t>
            </w:r>
          </w:p>
        </w:tc>
        <w:tc>
          <w:tcPr>
            <w:tcW w:w="1842" w:type="dxa"/>
            <w:vAlign w:val="center"/>
            <w:hideMark/>
          </w:tcPr>
          <w:p w14:paraId="06FC8E62"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21EF08AA"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7EC9BB52" w14:textId="77777777" w:rsidTr="001F3738">
        <w:trPr>
          <w:trHeight w:val="288"/>
          <w:jc w:val="center"/>
        </w:trPr>
        <w:tc>
          <w:tcPr>
            <w:tcW w:w="495" w:type="dxa"/>
            <w:vAlign w:val="center"/>
            <w:hideMark/>
          </w:tcPr>
          <w:p w14:paraId="3B7BEAD6" w14:textId="77777777" w:rsidR="008713E7" w:rsidRPr="00324820" w:rsidRDefault="008713E7" w:rsidP="008713E7">
            <w:pPr>
              <w:rPr>
                <w:rFonts w:cs="Arial"/>
                <w:sz w:val="20"/>
                <w:szCs w:val="20"/>
              </w:rPr>
            </w:pPr>
            <w:r w:rsidRPr="00324820">
              <w:rPr>
                <w:rFonts w:cs="Arial"/>
                <w:sz w:val="20"/>
                <w:szCs w:val="20"/>
              </w:rPr>
              <w:t>9.</w:t>
            </w:r>
          </w:p>
        </w:tc>
        <w:tc>
          <w:tcPr>
            <w:tcW w:w="5596" w:type="dxa"/>
            <w:vAlign w:val="center"/>
            <w:hideMark/>
          </w:tcPr>
          <w:p w14:paraId="1BECE32B" w14:textId="75F2CAA1" w:rsidR="008713E7" w:rsidRPr="00324820" w:rsidRDefault="00CC5A58" w:rsidP="008713E7">
            <w:pPr>
              <w:rPr>
                <w:rFonts w:cs="Arial"/>
                <w:sz w:val="20"/>
                <w:szCs w:val="20"/>
              </w:rPr>
            </w:pPr>
            <w:r w:rsidRPr="00324820">
              <w:rPr>
                <w:rFonts w:cs="Arial"/>
                <w:sz w:val="20"/>
                <w:szCs w:val="20"/>
              </w:rPr>
              <w:t>Srednja škola Oroslavje</w:t>
            </w:r>
          </w:p>
        </w:tc>
        <w:tc>
          <w:tcPr>
            <w:tcW w:w="1842" w:type="dxa"/>
            <w:vAlign w:val="center"/>
            <w:hideMark/>
          </w:tcPr>
          <w:p w14:paraId="69D3B0C6"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7931990F"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59CB48CE" w14:textId="77777777" w:rsidTr="001F3738">
        <w:trPr>
          <w:trHeight w:val="288"/>
          <w:jc w:val="center"/>
        </w:trPr>
        <w:tc>
          <w:tcPr>
            <w:tcW w:w="495" w:type="dxa"/>
            <w:vAlign w:val="center"/>
            <w:hideMark/>
          </w:tcPr>
          <w:p w14:paraId="1C244821" w14:textId="77777777" w:rsidR="008713E7" w:rsidRPr="00324820" w:rsidRDefault="008713E7" w:rsidP="008713E7">
            <w:pPr>
              <w:rPr>
                <w:rFonts w:cs="Arial"/>
                <w:sz w:val="20"/>
                <w:szCs w:val="20"/>
              </w:rPr>
            </w:pPr>
            <w:r w:rsidRPr="00324820">
              <w:rPr>
                <w:rFonts w:cs="Arial"/>
                <w:sz w:val="20"/>
                <w:szCs w:val="20"/>
              </w:rPr>
              <w:t>10.</w:t>
            </w:r>
          </w:p>
        </w:tc>
        <w:tc>
          <w:tcPr>
            <w:tcW w:w="5596" w:type="dxa"/>
            <w:vAlign w:val="center"/>
            <w:hideMark/>
          </w:tcPr>
          <w:p w14:paraId="36EFDFE6" w14:textId="125C9990" w:rsidR="008713E7" w:rsidRPr="00324820" w:rsidRDefault="00CC5A58" w:rsidP="008713E7">
            <w:pPr>
              <w:rPr>
                <w:rFonts w:cs="Arial"/>
                <w:sz w:val="20"/>
                <w:szCs w:val="20"/>
              </w:rPr>
            </w:pPr>
            <w:r w:rsidRPr="00324820">
              <w:rPr>
                <w:rFonts w:cs="Arial"/>
                <w:sz w:val="20"/>
                <w:szCs w:val="20"/>
              </w:rPr>
              <w:t>Srednja škola Zabok</w:t>
            </w:r>
          </w:p>
        </w:tc>
        <w:tc>
          <w:tcPr>
            <w:tcW w:w="1842" w:type="dxa"/>
            <w:vAlign w:val="center"/>
            <w:hideMark/>
          </w:tcPr>
          <w:p w14:paraId="2B6D4017"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19407B6A"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10DB3688" w14:textId="77777777" w:rsidTr="001F3738">
        <w:trPr>
          <w:trHeight w:val="288"/>
          <w:jc w:val="center"/>
        </w:trPr>
        <w:tc>
          <w:tcPr>
            <w:tcW w:w="495" w:type="dxa"/>
            <w:vAlign w:val="center"/>
            <w:hideMark/>
          </w:tcPr>
          <w:p w14:paraId="66B4E29F" w14:textId="77777777" w:rsidR="008713E7" w:rsidRPr="00324820" w:rsidRDefault="008713E7" w:rsidP="008713E7">
            <w:pPr>
              <w:rPr>
                <w:rFonts w:cs="Arial"/>
                <w:sz w:val="20"/>
                <w:szCs w:val="20"/>
              </w:rPr>
            </w:pPr>
            <w:r w:rsidRPr="00324820">
              <w:rPr>
                <w:rFonts w:cs="Arial"/>
                <w:sz w:val="20"/>
                <w:szCs w:val="20"/>
              </w:rPr>
              <w:t>11.</w:t>
            </w:r>
          </w:p>
        </w:tc>
        <w:tc>
          <w:tcPr>
            <w:tcW w:w="5596" w:type="dxa"/>
            <w:vAlign w:val="center"/>
            <w:hideMark/>
          </w:tcPr>
          <w:p w14:paraId="4466DB28" w14:textId="0B23C96B" w:rsidR="008713E7" w:rsidRPr="00324820" w:rsidRDefault="00CC5A58" w:rsidP="008713E7">
            <w:pPr>
              <w:rPr>
                <w:rFonts w:cs="Arial"/>
                <w:sz w:val="20"/>
                <w:szCs w:val="20"/>
              </w:rPr>
            </w:pPr>
            <w:r w:rsidRPr="00324820">
              <w:rPr>
                <w:rFonts w:cs="Arial"/>
                <w:sz w:val="20"/>
                <w:szCs w:val="20"/>
              </w:rPr>
              <w:t>Škola za turizam, ugostiteljstvo i trgovinu Pula</w:t>
            </w:r>
          </w:p>
        </w:tc>
        <w:tc>
          <w:tcPr>
            <w:tcW w:w="1842" w:type="dxa"/>
            <w:vAlign w:val="center"/>
            <w:hideMark/>
          </w:tcPr>
          <w:p w14:paraId="38F26EDD"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4793EC40"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0C588583" w14:textId="77777777" w:rsidTr="001F3738">
        <w:trPr>
          <w:trHeight w:val="288"/>
          <w:jc w:val="center"/>
        </w:trPr>
        <w:tc>
          <w:tcPr>
            <w:tcW w:w="495" w:type="dxa"/>
            <w:vAlign w:val="center"/>
            <w:hideMark/>
          </w:tcPr>
          <w:p w14:paraId="44C7CCBB" w14:textId="77777777" w:rsidR="008713E7" w:rsidRPr="00324820" w:rsidRDefault="008713E7" w:rsidP="008713E7">
            <w:pPr>
              <w:rPr>
                <w:rFonts w:cs="Arial"/>
                <w:sz w:val="20"/>
                <w:szCs w:val="20"/>
              </w:rPr>
            </w:pPr>
            <w:r w:rsidRPr="00324820">
              <w:rPr>
                <w:rFonts w:cs="Arial"/>
                <w:sz w:val="20"/>
                <w:szCs w:val="20"/>
              </w:rPr>
              <w:t>12.</w:t>
            </w:r>
          </w:p>
        </w:tc>
        <w:tc>
          <w:tcPr>
            <w:tcW w:w="5596" w:type="dxa"/>
            <w:vAlign w:val="center"/>
            <w:hideMark/>
          </w:tcPr>
          <w:p w14:paraId="40060D28" w14:textId="77777777" w:rsidR="008713E7" w:rsidRPr="00324820" w:rsidRDefault="008713E7" w:rsidP="008713E7">
            <w:pPr>
              <w:rPr>
                <w:rFonts w:cs="Arial"/>
                <w:sz w:val="20"/>
                <w:szCs w:val="20"/>
              </w:rPr>
            </w:pPr>
            <w:r w:rsidRPr="00324820">
              <w:rPr>
                <w:rFonts w:cs="Arial"/>
                <w:sz w:val="20"/>
                <w:szCs w:val="20"/>
              </w:rPr>
              <w:t xml:space="preserve">Tehnička škola Zagreb </w:t>
            </w:r>
          </w:p>
        </w:tc>
        <w:tc>
          <w:tcPr>
            <w:tcW w:w="1842" w:type="dxa"/>
            <w:vAlign w:val="center"/>
            <w:hideMark/>
          </w:tcPr>
          <w:p w14:paraId="43338E99"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2BF25FF8"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0B0C159B" w14:textId="77777777" w:rsidTr="001F3738">
        <w:trPr>
          <w:trHeight w:val="288"/>
          <w:jc w:val="center"/>
        </w:trPr>
        <w:tc>
          <w:tcPr>
            <w:tcW w:w="9776" w:type="dxa"/>
            <w:gridSpan w:val="4"/>
            <w:shd w:val="clear" w:color="auto" w:fill="D9D9D9" w:themeFill="background1" w:themeFillShade="D9"/>
            <w:vAlign w:val="center"/>
            <w:hideMark/>
          </w:tcPr>
          <w:p w14:paraId="3B06B2F4" w14:textId="77777777" w:rsidR="008713E7" w:rsidRPr="00820BCA" w:rsidRDefault="008713E7" w:rsidP="008713E7">
            <w:pPr>
              <w:rPr>
                <w:rFonts w:cs="Arial"/>
                <w:b/>
                <w:sz w:val="20"/>
                <w:szCs w:val="20"/>
              </w:rPr>
            </w:pPr>
            <w:r>
              <w:rPr>
                <w:rFonts w:cs="Arial"/>
                <w:b/>
                <w:sz w:val="20"/>
                <w:szCs w:val="20"/>
              </w:rPr>
              <w:t xml:space="preserve">         </w:t>
            </w:r>
            <w:r w:rsidRPr="00820BCA">
              <w:rPr>
                <w:rFonts w:cs="Arial"/>
                <w:b/>
                <w:sz w:val="20"/>
                <w:szCs w:val="20"/>
              </w:rPr>
              <w:t>Neprofitne organizacije</w:t>
            </w:r>
          </w:p>
        </w:tc>
      </w:tr>
      <w:tr w:rsidR="008713E7" w:rsidRPr="00324820" w14:paraId="5B2D2A79" w14:textId="77777777" w:rsidTr="001F3738">
        <w:trPr>
          <w:trHeight w:val="288"/>
          <w:jc w:val="center"/>
        </w:trPr>
        <w:tc>
          <w:tcPr>
            <w:tcW w:w="495" w:type="dxa"/>
            <w:vAlign w:val="center"/>
            <w:hideMark/>
          </w:tcPr>
          <w:p w14:paraId="69A5A26A" w14:textId="77777777" w:rsidR="008713E7" w:rsidRPr="00324820" w:rsidRDefault="008713E7" w:rsidP="008713E7">
            <w:pPr>
              <w:rPr>
                <w:rFonts w:cs="Arial"/>
                <w:sz w:val="20"/>
                <w:szCs w:val="20"/>
              </w:rPr>
            </w:pPr>
            <w:r w:rsidRPr="00324820">
              <w:rPr>
                <w:rFonts w:cs="Arial"/>
                <w:sz w:val="20"/>
                <w:szCs w:val="20"/>
              </w:rPr>
              <w:t>1.</w:t>
            </w:r>
          </w:p>
        </w:tc>
        <w:tc>
          <w:tcPr>
            <w:tcW w:w="5596" w:type="dxa"/>
            <w:vAlign w:val="center"/>
            <w:hideMark/>
          </w:tcPr>
          <w:p w14:paraId="1254A4D0" w14:textId="77777777" w:rsidR="008713E7" w:rsidRPr="00324820" w:rsidRDefault="008713E7" w:rsidP="008713E7">
            <w:pPr>
              <w:rPr>
                <w:rFonts w:cs="Arial"/>
                <w:sz w:val="20"/>
                <w:szCs w:val="20"/>
              </w:rPr>
            </w:pPr>
            <w:r w:rsidRPr="00324820">
              <w:rPr>
                <w:rFonts w:cs="Arial"/>
                <w:sz w:val="20"/>
                <w:szCs w:val="20"/>
              </w:rPr>
              <w:t>Hrvatski atletski savez</w:t>
            </w:r>
          </w:p>
        </w:tc>
        <w:tc>
          <w:tcPr>
            <w:tcW w:w="1842" w:type="dxa"/>
            <w:vAlign w:val="center"/>
            <w:hideMark/>
          </w:tcPr>
          <w:p w14:paraId="54436D0B"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39BB22A7"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2C591346" w14:textId="77777777" w:rsidTr="001F3738">
        <w:trPr>
          <w:trHeight w:val="288"/>
          <w:jc w:val="center"/>
        </w:trPr>
        <w:tc>
          <w:tcPr>
            <w:tcW w:w="495" w:type="dxa"/>
            <w:vAlign w:val="center"/>
            <w:hideMark/>
          </w:tcPr>
          <w:p w14:paraId="6EC33A92" w14:textId="77777777" w:rsidR="008713E7" w:rsidRPr="00324820" w:rsidRDefault="008713E7" w:rsidP="008713E7">
            <w:pPr>
              <w:rPr>
                <w:rFonts w:cs="Arial"/>
                <w:sz w:val="20"/>
                <w:szCs w:val="20"/>
              </w:rPr>
            </w:pPr>
            <w:r w:rsidRPr="00324820">
              <w:rPr>
                <w:rFonts w:cs="Arial"/>
                <w:sz w:val="20"/>
                <w:szCs w:val="20"/>
              </w:rPr>
              <w:t>2.</w:t>
            </w:r>
          </w:p>
        </w:tc>
        <w:tc>
          <w:tcPr>
            <w:tcW w:w="5596" w:type="dxa"/>
            <w:vAlign w:val="center"/>
            <w:hideMark/>
          </w:tcPr>
          <w:p w14:paraId="52AAF257" w14:textId="77777777" w:rsidR="008713E7" w:rsidRPr="00324820" w:rsidRDefault="008713E7" w:rsidP="008713E7">
            <w:pPr>
              <w:rPr>
                <w:rFonts w:cs="Arial"/>
                <w:sz w:val="20"/>
                <w:szCs w:val="20"/>
              </w:rPr>
            </w:pPr>
            <w:r w:rsidRPr="00324820">
              <w:rPr>
                <w:rFonts w:cs="Arial"/>
                <w:sz w:val="20"/>
                <w:szCs w:val="20"/>
              </w:rPr>
              <w:t>Hrvatski Crveni križ – Gradsko društvo Crvenog križa Pakrac</w:t>
            </w:r>
          </w:p>
        </w:tc>
        <w:tc>
          <w:tcPr>
            <w:tcW w:w="1842" w:type="dxa"/>
            <w:vAlign w:val="center"/>
            <w:hideMark/>
          </w:tcPr>
          <w:p w14:paraId="031FE4D3"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799A37BC"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317C0FD4" w14:textId="77777777" w:rsidTr="001F3738">
        <w:trPr>
          <w:trHeight w:val="288"/>
          <w:jc w:val="center"/>
        </w:trPr>
        <w:tc>
          <w:tcPr>
            <w:tcW w:w="495" w:type="dxa"/>
            <w:vAlign w:val="center"/>
            <w:hideMark/>
          </w:tcPr>
          <w:p w14:paraId="70452517" w14:textId="77777777" w:rsidR="008713E7" w:rsidRPr="00324820" w:rsidRDefault="008713E7" w:rsidP="008713E7">
            <w:pPr>
              <w:rPr>
                <w:rFonts w:cs="Arial"/>
                <w:sz w:val="20"/>
                <w:szCs w:val="20"/>
              </w:rPr>
            </w:pPr>
            <w:r w:rsidRPr="00324820">
              <w:rPr>
                <w:rFonts w:cs="Arial"/>
                <w:sz w:val="20"/>
                <w:szCs w:val="20"/>
              </w:rPr>
              <w:t>3.</w:t>
            </w:r>
          </w:p>
        </w:tc>
        <w:tc>
          <w:tcPr>
            <w:tcW w:w="5596" w:type="dxa"/>
            <w:vAlign w:val="center"/>
            <w:hideMark/>
          </w:tcPr>
          <w:p w14:paraId="27ACDA32" w14:textId="77777777" w:rsidR="008713E7" w:rsidRPr="00324820" w:rsidRDefault="008713E7" w:rsidP="008713E7">
            <w:pPr>
              <w:rPr>
                <w:rFonts w:cs="Arial"/>
                <w:sz w:val="20"/>
                <w:szCs w:val="20"/>
              </w:rPr>
            </w:pPr>
            <w:r w:rsidRPr="00324820">
              <w:rPr>
                <w:rFonts w:cs="Arial"/>
                <w:sz w:val="20"/>
                <w:szCs w:val="20"/>
              </w:rPr>
              <w:t>Hrvatski lovački savez</w:t>
            </w:r>
          </w:p>
        </w:tc>
        <w:tc>
          <w:tcPr>
            <w:tcW w:w="1842" w:type="dxa"/>
            <w:vAlign w:val="center"/>
            <w:hideMark/>
          </w:tcPr>
          <w:p w14:paraId="2D3B66F0" w14:textId="77777777" w:rsidR="008713E7" w:rsidRPr="00324820" w:rsidRDefault="008713E7" w:rsidP="008713E7">
            <w:pPr>
              <w:jc w:val="center"/>
              <w:rPr>
                <w:rFonts w:cs="Arial"/>
                <w:sz w:val="20"/>
                <w:szCs w:val="20"/>
              </w:rPr>
            </w:pPr>
            <w:r w:rsidRPr="00324820">
              <w:rPr>
                <w:rFonts w:cs="Arial"/>
                <w:sz w:val="20"/>
                <w:szCs w:val="20"/>
              </w:rPr>
              <w:t>suzdržano</w:t>
            </w:r>
          </w:p>
        </w:tc>
        <w:tc>
          <w:tcPr>
            <w:tcW w:w="1843" w:type="dxa"/>
            <w:vAlign w:val="center"/>
            <w:hideMark/>
          </w:tcPr>
          <w:p w14:paraId="5AE8D68F"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4E87185E" w14:textId="77777777" w:rsidTr="001F3738">
        <w:trPr>
          <w:trHeight w:val="288"/>
          <w:jc w:val="center"/>
        </w:trPr>
        <w:tc>
          <w:tcPr>
            <w:tcW w:w="495" w:type="dxa"/>
            <w:vAlign w:val="center"/>
            <w:hideMark/>
          </w:tcPr>
          <w:p w14:paraId="7F7816B9" w14:textId="77777777" w:rsidR="008713E7" w:rsidRPr="00324820" w:rsidRDefault="008713E7" w:rsidP="008713E7">
            <w:pPr>
              <w:rPr>
                <w:rFonts w:cs="Arial"/>
                <w:sz w:val="20"/>
                <w:szCs w:val="20"/>
              </w:rPr>
            </w:pPr>
            <w:r w:rsidRPr="00324820">
              <w:rPr>
                <w:rFonts w:cs="Arial"/>
                <w:sz w:val="20"/>
                <w:szCs w:val="20"/>
              </w:rPr>
              <w:t>4.</w:t>
            </w:r>
          </w:p>
        </w:tc>
        <w:tc>
          <w:tcPr>
            <w:tcW w:w="5596" w:type="dxa"/>
            <w:vAlign w:val="center"/>
            <w:hideMark/>
          </w:tcPr>
          <w:p w14:paraId="3D0CA7D3" w14:textId="77777777" w:rsidR="008713E7" w:rsidRPr="00324820" w:rsidRDefault="008713E7" w:rsidP="008713E7">
            <w:pPr>
              <w:rPr>
                <w:rFonts w:cs="Arial"/>
                <w:sz w:val="20"/>
                <w:szCs w:val="20"/>
              </w:rPr>
            </w:pPr>
            <w:r w:rsidRPr="00324820">
              <w:rPr>
                <w:rFonts w:cs="Arial"/>
                <w:sz w:val="20"/>
                <w:szCs w:val="20"/>
              </w:rPr>
              <w:t>Hrvatski teniski savez</w:t>
            </w:r>
          </w:p>
        </w:tc>
        <w:tc>
          <w:tcPr>
            <w:tcW w:w="1842" w:type="dxa"/>
            <w:vAlign w:val="center"/>
            <w:hideMark/>
          </w:tcPr>
          <w:p w14:paraId="298F23CB"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735CE9ED"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0E8183CE" w14:textId="77777777" w:rsidTr="001F3738">
        <w:trPr>
          <w:trHeight w:val="288"/>
          <w:jc w:val="center"/>
        </w:trPr>
        <w:tc>
          <w:tcPr>
            <w:tcW w:w="495" w:type="dxa"/>
            <w:vAlign w:val="center"/>
            <w:hideMark/>
          </w:tcPr>
          <w:p w14:paraId="2FBE9DF3" w14:textId="77777777" w:rsidR="008713E7" w:rsidRPr="00324820" w:rsidRDefault="008713E7" w:rsidP="008713E7">
            <w:pPr>
              <w:rPr>
                <w:rFonts w:cs="Arial"/>
                <w:sz w:val="20"/>
                <w:szCs w:val="20"/>
              </w:rPr>
            </w:pPr>
            <w:r w:rsidRPr="00324820">
              <w:rPr>
                <w:rFonts w:cs="Arial"/>
                <w:sz w:val="20"/>
                <w:szCs w:val="20"/>
              </w:rPr>
              <w:t>5.</w:t>
            </w:r>
          </w:p>
        </w:tc>
        <w:tc>
          <w:tcPr>
            <w:tcW w:w="5596" w:type="dxa"/>
            <w:vAlign w:val="center"/>
            <w:hideMark/>
          </w:tcPr>
          <w:p w14:paraId="3EBE37E9" w14:textId="77777777" w:rsidR="008713E7" w:rsidRPr="00324820" w:rsidRDefault="008713E7" w:rsidP="008713E7">
            <w:pPr>
              <w:rPr>
                <w:rFonts w:cs="Arial"/>
                <w:sz w:val="20"/>
                <w:szCs w:val="20"/>
              </w:rPr>
            </w:pPr>
            <w:r w:rsidRPr="00324820">
              <w:rPr>
                <w:rFonts w:cs="Arial"/>
                <w:sz w:val="20"/>
                <w:szCs w:val="20"/>
              </w:rPr>
              <w:t>Sportska zajednica Grada Labina</w:t>
            </w:r>
          </w:p>
        </w:tc>
        <w:tc>
          <w:tcPr>
            <w:tcW w:w="1842" w:type="dxa"/>
            <w:vAlign w:val="center"/>
            <w:hideMark/>
          </w:tcPr>
          <w:p w14:paraId="2273CE2C"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4FB9305F"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77868B81" w14:textId="77777777" w:rsidTr="001F3738">
        <w:trPr>
          <w:trHeight w:val="288"/>
          <w:jc w:val="center"/>
        </w:trPr>
        <w:tc>
          <w:tcPr>
            <w:tcW w:w="495" w:type="dxa"/>
            <w:vAlign w:val="center"/>
            <w:hideMark/>
          </w:tcPr>
          <w:p w14:paraId="19AA40C4" w14:textId="77777777" w:rsidR="008713E7" w:rsidRPr="00324820" w:rsidRDefault="008713E7" w:rsidP="008713E7">
            <w:pPr>
              <w:rPr>
                <w:rFonts w:cs="Arial"/>
                <w:sz w:val="20"/>
                <w:szCs w:val="20"/>
              </w:rPr>
            </w:pPr>
            <w:r w:rsidRPr="00324820">
              <w:rPr>
                <w:rFonts w:cs="Arial"/>
                <w:sz w:val="20"/>
                <w:szCs w:val="20"/>
              </w:rPr>
              <w:lastRenderedPageBreak/>
              <w:t>6.</w:t>
            </w:r>
          </w:p>
        </w:tc>
        <w:tc>
          <w:tcPr>
            <w:tcW w:w="5596" w:type="dxa"/>
            <w:vAlign w:val="center"/>
            <w:hideMark/>
          </w:tcPr>
          <w:p w14:paraId="33836B42" w14:textId="77777777" w:rsidR="008713E7" w:rsidRPr="00324820" w:rsidRDefault="008713E7" w:rsidP="008713E7">
            <w:pPr>
              <w:rPr>
                <w:rFonts w:cs="Arial"/>
                <w:sz w:val="20"/>
                <w:szCs w:val="20"/>
              </w:rPr>
            </w:pPr>
            <w:r w:rsidRPr="00324820">
              <w:rPr>
                <w:rFonts w:cs="Arial"/>
                <w:sz w:val="20"/>
                <w:szCs w:val="20"/>
              </w:rPr>
              <w:t>Sportska zajednica Grada Poreča</w:t>
            </w:r>
          </w:p>
        </w:tc>
        <w:tc>
          <w:tcPr>
            <w:tcW w:w="1842" w:type="dxa"/>
            <w:vAlign w:val="center"/>
            <w:hideMark/>
          </w:tcPr>
          <w:p w14:paraId="53B68477"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1C0499A2"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1A7BBBA3" w14:textId="77777777" w:rsidTr="001F3738">
        <w:trPr>
          <w:trHeight w:val="576"/>
          <w:jc w:val="center"/>
        </w:trPr>
        <w:tc>
          <w:tcPr>
            <w:tcW w:w="495" w:type="dxa"/>
            <w:vAlign w:val="center"/>
            <w:hideMark/>
          </w:tcPr>
          <w:p w14:paraId="7FA2C1C8" w14:textId="77777777" w:rsidR="008713E7" w:rsidRPr="00324820" w:rsidRDefault="008713E7" w:rsidP="008713E7">
            <w:pPr>
              <w:rPr>
                <w:rFonts w:cs="Arial"/>
                <w:sz w:val="20"/>
                <w:szCs w:val="20"/>
              </w:rPr>
            </w:pPr>
            <w:r w:rsidRPr="00324820">
              <w:rPr>
                <w:rFonts w:cs="Arial"/>
                <w:sz w:val="20"/>
                <w:szCs w:val="20"/>
              </w:rPr>
              <w:t>7.</w:t>
            </w:r>
          </w:p>
        </w:tc>
        <w:tc>
          <w:tcPr>
            <w:tcW w:w="5596" w:type="dxa"/>
            <w:vAlign w:val="center"/>
            <w:hideMark/>
          </w:tcPr>
          <w:p w14:paraId="21F1017B" w14:textId="4F6ACBB0" w:rsidR="008713E7" w:rsidRPr="00324820" w:rsidRDefault="008713E7" w:rsidP="008713E7">
            <w:pPr>
              <w:rPr>
                <w:rFonts w:cs="Arial"/>
                <w:sz w:val="20"/>
                <w:szCs w:val="20"/>
              </w:rPr>
            </w:pPr>
            <w:r w:rsidRPr="00324820">
              <w:rPr>
                <w:rFonts w:cs="Arial"/>
                <w:sz w:val="20"/>
                <w:szCs w:val="20"/>
              </w:rPr>
              <w:t>Sportska zaj</w:t>
            </w:r>
            <w:r w:rsidR="004230B5">
              <w:rPr>
                <w:rFonts w:cs="Arial"/>
                <w:sz w:val="20"/>
                <w:szCs w:val="20"/>
              </w:rPr>
              <w:t xml:space="preserve">ednica Grada Rovinja-Rovigno – </w:t>
            </w:r>
            <w:r w:rsidRPr="00324820">
              <w:rPr>
                <w:rFonts w:cs="Arial"/>
                <w:sz w:val="20"/>
                <w:szCs w:val="20"/>
              </w:rPr>
              <w:t>Unione sportiva della Città di Rovinj-Rovigno</w:t>
            </w:r>
          </w:p>
        </w:tc>
        <w:tc>
          <w:tcPr>
            <w:tcW w:w="1842" w:type="dxa"/>
            <w:vAlign w:val="center"/>
            <w:hideMark/>
          </w:tcPr>
          <w:p w14:paraId="35D28DD9"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69988037"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56F2A7B2" w14:textId="77777777" w:rsidTr="001F3738">
        <w:trPr>
          <w:trHeight w:val="288"/>
          <w:jc w:val="center"/>
        </w:trPr>
        <w:tc>
          <w:tcPr>
            <w:tcW w:w="495" w:type="dxa"/>
            <w:vAlign w:val="center"/>
            <w:hideMark/>
          </w:tcPr>
          <w:p w14:paraId="17DA2725" w14:textId="77777777" w:rsidR="008713E7" w:rsidRPr="00324820" w:rsidRDefault="008713E7" w:rsidP="008713E7">
            <w:pPr>
              <w:rPr>
                <w:rFonts w:cs="Arial"/>
                <w:sz w:val="20"/>
                <w:szCs w:val="20"/>
              </w:rPr>
            </w:pPr>
            <w:r w:rsidRPr="00324820">
              <w:rPr>
                <w:rFonts w:cs="Arial"/>
                <w:sz w:val="20"/>
                <w:szCs w:val="20"/>
              </w:rPr>
              <w:t>8.</w:t>
            </w:r>
          </w:p>
        </w:tc>
        <w:tc>
          <w:tcPr>
            <w:tcW w:w="5596" w:type="dxa"/>
            <w:vAlign w:val="center"/>
            <w:hideMark/>
          </w:tcPr>
          <w:p w14:paraId="271C827F" w14:textId="77777777" w:rsidR="008713E7" w:rsidRPr="00324820" w:rsidRDefault="008713E7" w:rsidP="008713E7">
            <w:pPr>
              <w:rPr>
                <w:rFonts w:cs="Arial"/>
                <w:sz w:val="20"/>
                <w:szCs w:val="20"/>
              </w:rPr>
            </w:pPr>
            <w:r w:rsidRPr="00324820">
              <w:rPr>
                <w:rFonts w:cs="Arial"/>
                <w:sz w:val="20"/>
                <w:szCs w:val="20"/>
              </w:rPr>
              <w:t>Sportski savez Grada Zagreba</w:t>
            </w:r>
          </w:p>
        </w:tc>
        <w:tc>
          <w:tcPr>
            <w:tcW w:w="1842" w:type="dxa"/>
            <w:vAlign w:val="center"/>
            <w:hideMark/>
          </w:tcPr>
          <w:p w14:paraId="0BC703A1"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6CE2E185"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7F0116E7" w14:textId="77777777" w:rsidTr="001F3738">
        <w:trPr>
          <w:trHeight w:val="288"/>
          <w:jc w:val="center"/>
        </w:trPr>
        <w:tc>
          <w:tcPr>
            <w:tcW w:w="495" w:type="dxa"/>
            <w:vAlign w:val="center"/>
            <w:hideMark/>
          </w:tcPr>
          <w:p w14:paraId="36184596" w14:textId="77777777" w:rsidR="008713E7" w:rsidRPr="00324820" w:rsidRDefault="008713E7" w:rsidP="008713E7">
            <w:pPr>
              <w:rPr>
                <w:rFonts w:cs="Arial"/>
                <w:sz w:val="20"/>
                <w:szCs w:val="20"/>
              </w:rPr>
            </w:pPr>
            <w:r w:rsidRPr="00324820">
              <w:rPr>
                <w:rFonts w:cs="Arial"/>
                <w:sz w:val="20"/>
                <w:szCs w:val="20"/>
              </w:rPr>
              <w:t>9.</w:t>
            </w:r>
          </w:p>
        </w:tc>
        <w:tc>
          <w:tcPr>
            <w:tcW w:w="5596" w:type="dxa"/>
            <w:vAlign w:val="center"/>
            <w:hideMark/>
          </w:tcPr>
          <w:p w14:paraId="5C3250E0" w14:textId="6BE53C0A" w:rsidR="008713E7" w:rsidRPr="00324820" w:rsidRDefault="008713E7" w:rsidP="008713E7">
            <w:pPr>
              <w:rPr>
                <w:rFonts w:cs="Arial"/>
                <w:sz w:val="20"/>
                <w:szCs w:val="20"/>
              </w:rPr>
            </w:pPr>
            <w:r w:rsidRPr="00324820">
              <w:rPr>
                <w:rFonts w:cs="Arial"/>
                <w:sz w:val="20"/>
                <w:szCs w:val="20"/>
              </w:rPr>
              <w:t>Županijsk</w:t>
            </w:r>
            <w:r w:rsidR="004230B5">
              <w:rPr>
                <w:rFonts w:cs="Arial"/>
                <w:sz w:val="20"/>
                <w:szCs w:val="20"/>
              </w:rPr>
              <w:t>a lučka uprava Opatija-Lovran-</w:t>
            </w:r>
            <w:r w:rsidRPr="00324820">
              <w:rPr>
                <w:rFonts w:cs="Arial"/>
                <w:sz w:val="20"/>
                <w:szCs w:val="20"/>
              </w:rPr>
              <w:t>Mošćenička Draga</w:t>
            </w:r>
          </w:p>
        </w:tc>
        <w:tc>
          <w:tcPr>
            <w:tcW w:w="1842" w:type="dxa"/>
            <w:vAlign w:val="center"/>
            <w:hideMark/>
          </w:tcPr>
          <w:p w14:paraId="115582DC"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1889F177"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7A26D762" w14:textId="77777777" w:rsidTr="001F3738">
        <w:trPr>
          <w:trHeight w:val="288"/>
          <w:jc w:val="center"/>
        </w:trPr>
        <w:tc>
          <w:tcPr>
            <w:tcW w:w="9776" w:type="dxa"/>
            <w:gridSpan w:val="4"/>
            <w:shd w:val="clear" w:color="auto" w:fill="D9D9D9" w:themeFill="background1" w:themeFillShade="D9"/>
            <w:vAlign w:val="center"/>
            <w:hideMark/>
          </w:tcPr>
          <w:p w14:paraId="67D8905B" w14:textId="77777777" w:rsidR="008713E7" w:rsidRPr="00820BCA" w:rsidRDefault="008713E7" w:rsidP="008713E7">
            <w:pPr>
              <w:rPr>
                <w:rFonts w:cs="Arial"/>
                <w:b/>
                <w:sz w:val="20"/>
                <w:szCs w:val="20"/>
              </w:rPr>
            </w:pPr>
            <w:r>
              <w:rPr>
                <w:rFonts w:cs="Arial"/>
                <w:b/>
                <w:sz w:val="20"/>
                <w:szCs w:val="20"/>
              </w:rPr>
              <w:t xml:space="preserve">         </w:t>
            </w:r>
            <w:r w:rsidRPr="00820BCA">
              <w:rPr>
                <w:rFonts w:cs="Arial"/>
                <w:b/>
                <w:sz w:val="20"/>
                <w:szCs w:val="20"/>
              </w:rPr>
              <w:t>Političke stranke</w:t>
            </w:r>
          </w:p>
        </w:tc>
      </w:tr>
      <w:tr w:rsidR="008713E7" w:rsidRPr="00324820" w14:paraId="3A99C53E" w14:textId="77777777" w:rsidTr="001F3738">
        <w:trPr>
          <w:trHeight w:val="288"/>
          <w:jc w:val="center"/>
        </w:trPr>
        <w:tc>
          <w:tcPr>
            <w:tcW w:w="495" w:type="dxa"/>
            <w:vAlign w:val="center"/>
            <w:hideMark/>
          </w:tcPr>
          <w:p w14:paraId="3F21D31F" w14:textId="77777777" w:rsidR="008713E7" w:rsidRPr="00324820" w:rsidRDefault="008713E7" w:rsidP="008713E7">
            <w:pPr>
              <w:rPr>
                <w:rFonts w:cs="Arial"/>
                <w:sz w:val="20"/>
                <w:szCs w:val="20"/>
              </w:rPr>
            </w:pPr>
            <w:r w:rsidRPr="00324820">
              <w:rPr>
                <w:rFonts w:cs="Arial"/>
                <w:sz w:val="20"/>
                <w:szCs w:val="20"/>
              </w:rPr>
              <w:t>1.</w:t>
            </w:r>
          </w:p>
        </w:tc>
        <w:tc>
          <w:tcPr>
            <w:tcW w:w="5596" w:type="dxa"/>
            <w:vAlign w:val="center"/>
            <w:hideMark/>
          </w:tcPr>
          <w:p w14:paraId="0FAD244E" w14:textId="77777777" w:rsidR="008713E7" w:rsidRPr="00324820" w:rsidRDefault="008713E7" w:rsidP="008713E7">
            <w:pPr>
              <w:rPr>
                <w:rFonts w:cs="Arial"/>
                <w:sz w:val="20"/>
                <w:szCs w:val="20"/>
              </w:rPr>
            </w:pPr>
            <w:r w:rsidRPr="00324820">
              <w:rPr>
                <w:rFonts w:cs="Arial"/>
                <w:sz w:val="20"/>
                <w:szCs w:val="20"/>
              </w:rPr>
              <w:t>Akcija mladih (AM)</w:t>
            </w:r>
          </w:p>
        </w:tc>
        <w:tc>
          <w:tcPr>
            <w:tcW w:w="1842" w:type="dxa"/>
            <w:vAlign w:val="center"/>
            <w:hideMark/>
          </w:tcPr>
          <w:p w14:paraId="0056883A"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12B4BBEA"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563684C2" w14:textId="77777777" w:rsidTr="001F3738">
        <w:trPr>
          <w:trHeight w:val="576"/>
          <w:jc w:val="center"/>
        </w:trPr>
        <w:tc>
          <w:tcPr>
            <w:tcW w:w="495" w:type="dxa"/>
            <w:vAlign w:val="center"/>
            <w:hideMark/>
          </w:tcPr>
          <w:p w14:paraId="3830BD70" w14:textId="77777777" w:rsidR="008713E7" w:rsidRPr="00324820" w:rsidRDefault="008713E7" w:rsidP="008713E7">
            <w:pPr>
              <w:rPr>
                <w:rFonts w:cs="Arial"/>
                <w:sz w:val="20"/>
                <w:szCs w:val="20"/>
              </w:rPr>
            </w:pPr>
            <w:r w:rsidRPr="00324820">
              <w:rPr>
                <w:rFonts w:cs="Arial"/>
                <w:sz w:val="20"/>
                <w:szCs w:val="20"/>
              </w:rPr>
              <w:t>2.</w:t>
            </w:r>
          </w:p>
        </w:tc>
        <w:tc>
          <w:tcPr>
            <w:tcW w:w="5596" w:type="dxa"/>
            <w:vAlign w:val="center"/>
            <w:hideMark/>
          </w:tcPr>
          <w:p w14:paraId="40E03C8B" w14:textId="77777777" w:rsidR="008713E7" w:rsidRPr="00324820" w:rsidRDefault="008713E7" w:rsidP="008713E7">
            <w:pPr>
              <w:rPr>
                <w:rFonts w:cs="Arial"/>
                <w:sz w:val="20"/>
                <w:szCs w:val="20"/>
              </w:rPr>
            </w:pPr>
            <w:r w:rsidRPr="00324820">
              <w:rPr>
                <w:rFonts w:cs="Arial"/>
                <w:sz w:val="20"/>
                <w:szCs w:val="20"/>
              </w:rPr>
              <w:t>Bandić Milan 365 – Stranka rada i solidarnosti u stečaju (365 Stranka rada i solidarnosti u stečaju)</w:t>
            </w:r>
          </w:p>
        </w:tc>
        <w:tc>
          <w:tcPr>
            <w:tcW w:w="1842" w:type="dxa"/>
            <w:vAlign w:val="center"/>
            <w:hideMark/>
          </w:tcPr>
          <w:p w14:paraId="757F6594"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3368CABD"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5595E7BE" w14:textId="77777777" w:rsidTr="001F3738">
        <w:trPr>
          <w:trHeight w:val="288"/>
          <w:jc w:val="center"/>
        </w:trPr>
        <w:tc>
          <w:tcPr>
            <w:tcW w:w="495" w:type="dxa"/>
            <w:vAlign w:val="center"/>
            <w:hideMark/>
          </w:tcPr>
          <w:p w14:paraId="048FE6FD" w14:textId="77777777" w:rsidR="008713E7" w:rsidRPr="00324820" w:rsidRDefault="008713E7" w:rsidP="008713E7">
            <w:pPr>
              <w:rPr>
                <w:rFonts w:cs="Arial"/>
                <w:sz w:val="20"/>
                <w:szCs w:val="20"/>
              </w:rPr>
            </w:pPr>
            <w:r w:rsidRPr="00324820">
              <w:rPr>
                <w:rFonts w:cs="Arial"/>
                <w:sz w:val="20"/>
                <w:szCs w:val="20"/>
              </w:rPr>
              <w:t>3.</w:t>
            </w:r>
          </w:p>
        </w:tc>
        <w:tc>
          <w:tcPr>
            <w:tcW w:w="5596" w:type="dxa"/>
            <w:vAlign w:val="center"/>
            <w:hideMark/>
          </w:tcPr>
          <w:p w14:paraId="1F9D2997" w14:textId="77777777" w:rsidR="008713E7" w:rsidRPr="00324820" w:rsidRDefault="008713E7" w:rsidP="008713E7">
            <w:pPr>
              <w:rPr>
                <w:rFonts w:cs="Arial"/>
                <w:sz w:val="20"/>
                <w:szCs w:val="20"/>
              </w:rPr>
            </w:pPr>
            <w:r w:rsidRPr="00324820">
              <w:rPr>
                <w:rFonts w:cs="Arial"/>
                <w:sz w:val="20"/>
                <w:szCs w:val="20"/>
              </w:rPr>
              <w:t>Blok za Hrvatsku (Blok)</w:t>
            </w:r>
          </w:p>
        </w:tc>
        <w:tc>
          <w:tcPr>
            <w:tcW w:w="1842" w:type="dxa"/>
            <w:vAlign w:val="center"/>
            <w:hideMark/>
          </w:tcPr>
          <w:p w14:paraId="6B5149BD"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2886C73B"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6CE0B755" w14:textId="77777777" w:rsidTr="001F3738">
        <w:trPr>
          <w:trHeight w:val="288"/>
          <w:jc w:val="center"/>
        </w:trPr>
        <w:tc>
          <w:tcPr>
            <w:tcW w:w="495" w:type="dxa"/>
            <w:vAlign w:val="center"/>
            <w:hideMark/>
          </w:tcPr>
          <w:p w14:paraId="72E83E89" w14:textId="77777777" w:rsidR="008713E7" w:rsidRPr="00324820" w:rsidRDefault="008713E7" w:rsidP="008713E7">
            <w:pPr>
              <w:rPr>
                <w:rFonts w:cs="Arial"/>
                <w:sz w:val="20"/>
                <w:szCs w:val="20"/>
              </w:rPr>
            </w:pPr>
            <w:r w:rsidRPr="00324820">
              <w:rPr>
                <w:rFonts w:cs="Arial"/>
                <w:sz w:val="20"/>
                <w:szCs w:val="20"/>
              </w:rPr>
              <w:t>4.</w:t>
            </w:r>
          </w:p>
        </w:tc>
        <w:tc>
          <w:tcPr>
            <w:tcW w:w="5596" w:type="dxa"/>
            <w:vAlign w:val="center"/>
            <w:hideMark/>
          </w:tcPr>
          <w:p w14:paraId="52B3F7CB" w14:textId="77777777" w:rsidR="008713E7" w:rsidRPr="00324820" w:rsidRDefault="008713E7" w:rsidP="008713E7">
            <w:pPr>
              <w:rPr>
                <w:rFonts w:cs="Arial"/>
                <w:sz w:val="20"/>
                <w:szCs w:val="20"/>
              </w:rPr>
            </w:pPr>
            <w:r w:rsidRPr="00324820">
              <w:rPr>
                <w:rFonts w:cs="Arial"/>
                <w:sz w:val="20"/>
                <w:szCs w:val="20"/>
              </w:rPr>
              <w:t>Centar</w:t>
            </w:r>
          </w:p>
        </w:tc>
        <w:tc>
          <w:tcPr>
            <w:tcW w:w="1842" w:type="dxa"/>
            <w:vAlign w:val="center"/>
            <w:hideMark/>
          </w:tcPr>
          <w:p w14:paraId="5D36017C"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7BE3CA9C"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0935C65D" w14:textId="77777777" w:rsidTr="001F3738">
        <w:trPr>
          <w:trHeight w:val="288"/>
          <w:jc w:val="center"/>
        </w:trPr>
        <w:tc>
          <w:tcPr>
            <w:tcW w:w="495" w:type="dxa"/>
            <w:vAlign w:val="center"/>
            <w:hideMark/>
          </w:tcPr>
          <w:p w14:paraId="03E6310B" w14:textId="77777777" w:rsidR="008713E7" w:rsidRPr="00324820" w:rsidRDefault="008713E7" w:rsidP="008713E7">
            <w:pPr>
              <w:rPr>
                <w:rFonts w:cs="Arial"/>
                <w:sz w:val="20"/>
                <w:szCs w:val="20"/>
              </w:rPr>
            </w:pPr>
            <w:r w:rsidRPr="00324820">
              <w:rPr>
                <w:rFonts w:cs="Arial"/>
                <w:sz w:val="20"/>
                <w:szCs w:val="20"/>
              </w:rPr>
              <w:t>5.</w:t>
            </w:r>
          </w:p>
        </w:tc>
        <w:tc>
          <w:tcPr>
            <w:tcW w:w="5596" w:type="dxa"/>
            <w:vAlign w:val="center"/>
            <w:hideMark/>
          </w:tcPr>
          <w:p w14:paraId="30F41B89" w14:textId="77777777" w:rsidR="008713E7" w:rsidRPr="00324820" w:rsidRDefault="008713E7" w:rsidP="008713E7">
            <w:pPr>
              <w:rPr>
                <w:rFonts w:cs="Arial"/>
                <w:sz w:val="20"/>
                <w:szCs w:val="20"/>
              </w:rPr>
            </w:pPr>
            <w:r w:rsidRPr="00324820">
              <w:rPr>
                <w:rFonts w:cs="Arial"/>
                <w:sz w:val="20"/>
                <w:szCs w:val="20"/>
              </w:rPr>
              <w:t>Dalija Orešković i ljudi s imenom i prezimenom (DO i SIP)</w:t>
            </w:r>
          </w:p>
        </w:tc>
        <w:tc>
          <w:tcPr>
            <w:tcW w:w="1842" w:type="dxa"/>
            <w:vAlign w:val="center"/>
            <w:hideMark/>
          </w:tcPr>
          <w:p w14:paraId="1FD11483"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330CB2D8"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5A23000A" w14:textId="77777777" w:rsidTr="001F3738">
        <w:trPr>
          <w:trHeight w:val="288"/>
          <w:jc w:val="center"/>
        </w:trPr>
        <w:tc>
          <w:tcPr>
            <w:tcW w:w="495" w:type="dxa"/>
            <w:vAlign w:val="center"/>
            <w:hideMark/>
          </w:tcPr>
          <w:p w14:paraId="6F07929B" w14:textId="77777777" w:rsidR="008713E7" w:rsidRPr="00324820" w:rsidRDefault="008713E7" w:rsidP="008713E7">
            <w:pPr>
              <w:rPr>
                <w:rFonts w:cs="Arial"/>
                <w:sz w:val="20"/>
                <w:szCs w:val="20"/>
              </w:rPr>
            </w:pPr>
            <w:r w:rsidRPr="00324820">
              <w:rPr>
                <w:rFonts w:cs="Arial"/>
                <w:sz w:val="20"/>
                <w:szCs w:val="20"/>
              </w:rPr>
              <w:t>6.</w:t>
            </w:r>
          </w:p>
        </w:tc>
        <w:tc>
          <w:tcPr>
            <w:tcW w:w="5596" w:type="dxa"/>
            <w:vAlign w:val="center"/>
            <w:hideMark/>
          </w:tcPr>
          <w:p w14:paraId="109046B0" w14:textId="77777777" w:rsidR="008713E7" w:rsidRPr="00324820" w:rsidRDefault="008713E7" w:rsidP="008713E7">
            <w:pPr>
              <w:rPr>
                <w:rFonts w:cs="Arial"/>
                <w:sz w:val="20"/>
                <w:szCs w:val="20"/>
              </w:rPr>
            </w:pPr>
            <w:r w:rsidRPr="00324820">
              <w:rPr>
                <w:rFonts w:cs="Arial"/>
                <w:sz w:val="20"/>
                <w:szCs w:val="20"/>
              </w:rPr>
              <w:t>Demokratski HSS (DHSS)</w:t>
            </w:r>
          </w:p>
        </w:tc>
        <w:tc>
          <w:tcPr>
            <w:tcW w:w="1842" w:type="dxa"/>
            <w:vAlign w:val="center"/>
            <w:hideMark/>
          </w:tcPr>
          <w:p w14:paraId="09F48384"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04660D90"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03A56B07" w14:textId="77777777" w:rsidTr="001F3738">
        <w:trPr>
          <w:trHeight w:val="288"/>
          <w:jc w:val="center"/>
        </w:trPr>
        <w:tc>
          <w:tcPr>
            <w:tcW w:w="495" w:type="dxa"/>
            <w:vAlign w:val="center"/>
            <w:hideMark/>
          </w:tcPr>
          <w:p w14:paraId="0BC5585A" w14:textId="77777777" w:rsidR="008713E7" w:rsidRPr="00324820" w:rsidRDefault="008713E7" w:rsidP="008713E7">
            <w:pPr>
              <w:rPr>
                <w:rFonts w:cs="Arial"/>
                <w:sz w:val="20"/>
                <w:szCs w:val="20"/>
              </w:rPr>
            </w:pPr>
            <w:r w:rsidRPr="00324820">
              <w:rPr>
                <w:rFonts w:cs="Arial"/>
                <w:sz w:val="20"/>
                <w:szCs w:val="20"/>
              </w:rPr>
              <w:t>7.</w:t>
            </w:r>
          </w:p>
        </w:tc>
        <w:tc>
          <w:tcPr>
            <w:tcW w:w="5596" w:type="dxa"/>
            <w:vAlign w:val="center"/>
            <w:hideMark/>
          </w:tcPr>
          <w:p w14:paraId="2CDB2A92" w14:textId="77777777" w:rsidR="008713E7" w:rsidRPr="00324820" w:rsidRDefault="008713E7" w:rsidP="008713E7">
            <w:pPr>
              <w:rPr>
                <w:rFonts w:cs="Arial"/>
                <w:sz w:val="20"/>
                <w:szCs w:val="20"/>
              </w:rPr>
            </w:pPr>
            <w:r w:rsidRPr="00324820">
              <w:rPr>
                <w:rFonts w:cs="Arial"/>
                <w:sz w:val="20"/>
                <w:szCs w:val="20"/>
              </w:rPr>
              <w:t>Domovinski pokret (DP)</w:t>
            </w:r>
          </w:p>
        </w:tc>
        <w:tc>
          <w:tcPr>
            <w:tcW w:w="1842" w:type="dxa"/>
            <w:vAlign w:val="center"/>
            <w:hideMark/>
          </w:tcPr>
          <w:p w14:paraId="6EFCED84"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7830CFEB"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33B3FBE7" w14:textId="77777777" w:rsidTr="001F3738">
        <w:trPr>
          <w:trHeight w:val="288"/>
          <w:jc w:val="center"/>
        </w:trPr>
        <w:tc>
          <w:tcPr>
            <w:tcW w:w="495" w:type="dxa"/>
            <w:vAlign w:val="center"/>
            <w:hideMark/>
          </w:tcPr>
          <w:p w14:paraId="7C079A5F" w14:textId="77777777" w:rsidR="008713E7" w:rsidRPr="00324820" w:rsidRDefault="008713E7" w:rsidP="008713E7">
            <w:pPr>
              <w:rPr>
                <w:rFonts w:cs="Arial"/>
                <w:sz w:val="20"/>
                <w:szCs w:val="20"/>
              </w:rPr>
            </w:pPr>
            <w:r w:rsidRPr="00324820">
              <w:rPr>
                <w:rFonts w:cs="Arial"/>
                <w:sz w:val="20"/>
                <w:szCs w:val="20"/>
              </w:rPr>
              <w:t>8.</w:t>
            </w:r>
          </w:p>
        </w:tc>
        <w:tc>
          <w:tcPr>
            <w:tcW w:w="5596" w:type="dxa"/>
            <w:vAlign w:val="center"/>
            <w:hideMark/>
          </w:tcPr>
          <w:p w14:paraId="4ABA1C82" w14:textId="77777777" w:rsidR="008713E7" w:rsidRPr="00324820" w:rsidRDefault="008713E7" w:rsidP="008713E7">
            <w:pPr>
              <w:rPr>
                <w:rFonts w:cs="Arial"/>
                <w:sz w:val="20"/>
                <w:szCs w:val="20"/>
              </w:rPr>
            </w:pPr>
            <w:r w:rsidRPr="00324820">
              <w:rPr>
                <w:rFonts w:cs="Arial"/>
                <w:sz w:val="20"/>
                <w:szCs w:val="20"/>
              </w:rPr>
              <w:t>Dubrovački demokratski sabor (DDS)</w:t>
            </w:r>
          </w:p>
        </w:tc>
        <w:tc>
          <w:tcPr>
            <w:tcW w:w="1842" w:type="dxa"/>
            <w:vAlign w:val="center"/>
            <w:hideMark/>
          </w:tcPr>
          <w:p w14:paraId="60E47394"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3732D221"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4AFD6CA5" w14:textId="77777777" w:rsidTr="001F3738">
        <w:trPr>
          <w:trHeight w:val="288"/>
          <w:jc w:val="center"/>
        </w:trPr>
        <w:tc>
          <w:tcPr>
            <w:tcW w:w="495" w:type="dxa"/>
            <w:vAlign w:val="center"/>
            <w:hideMark/>
          </w:tcPr>
          <w:p w14:paraId="1AD3A470" w14:textId="77777777" w:rsidR="008713E7" w:rsidRPr="00324820" w:rsidRDefault="008713E7" w:rsidP="008713E7">
            <w:pPr>
              <w:rPr>
                <w:rFonts w:cs="Arial"/>
                <w:sz w:val="20"/>
                <w:szCs w:val="20"/>
              </w:rPr>
            </w:pPr>
            <w:r w:rsidRPr="00324820">
              <w:rPr>
                <w:rFonts w:cs="Arial"/>
                <w:sz w:val="20"/>
                <w:szCs w:val="20"/>
              </w:rPr>
              <w:t>9.</w:t>
            </w:r>
          </w:p>
        </w:tc>
        <w:tc>
          <w:tcPr>
            <w:tcW w:w="5596" w:type="dxa"/>
            <w:vAlign w:val="center"/>
            <w:hideMark/>
          </w:tcPr>
          <w:p w14:paraId="44581628" w14:textId="77777777" w:rsidR="008713E7" w:rsidRPr="00324820" w:rsidRDefault="008713E7" w:rsidP="008713E7">
            <w:pPr>
              <w:rPr>
                <w:rFonts w:cs="Arial"/>
                <w:sz w:val="20"/>
                <w:szCs w:val="20"/>
              </w:rPr>
            </w:pPr>
            <w:r w:rsidRPr="00324820">
              <w:rPr>
                <w:rFonts w:cs="Arial"/>
                <w:sz w:val="20"/>
                <w:szCs w:val="20"/>
              </w:rPr>
              <w:t>Duspara Mirko – Nezavisna lista (Duspara Mirko – NL)</w:t>
            </w:r>
          </w:p>
        </w:tc>
        <w:tc>
          <w:tcPr>
            <w:tcW w:w="1842" w:type="dxa"/>
            <w:vAlign w:val="center"/>
            <w:hideMark/>
          </w:tcPr>
          <w:p w14:paraId="0256E296"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5A3F571A"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69DADED6" w14:textId="77777777" w:rsidTr="001F3738">
        <w:trPr>
          <w:trHeight w:val="288"/>
          <w:jc w:val="center"/>
        </w:trPr>
        <w:tc>
          <w:tcPr>
            <w:tcW w:w="495" w:type="dxa"/>
            <w:vAlign w:val="center"/>
            <w:hideMark/>
          </w:tcPr>
          <w:p w14:paraId="773DCB82" w14:textId="77777777" w:rsidR="008713E7" w:rsidRPr="00324820" w:rsidRDefault="008713E7" w:rsidP="008713E7">
            <w:pPr>
              <w:rPr>
                <w:rFonts w:cs="Arial"/>
                <w:sz w:val="20"/>
                <w:szCs w:val="20"/>
              </w:rPr>
            </w:pPr>
            <w:r w:rsidRPr="00324820">
              <w:rPr>
                <w:rFonts w:cs="Arial"/>
                <w:sz w:val="20"/>
                <w:szCs w:val="20"/>
              </w:rPr>
              <w:t>10.</w:t>
            </w:r>
          </w:p>
        </w:tc>
        <w:tc>
          <w:tcPr>
            <w:tcW w:w="5596" w:type="dxa"/>
            <w:vAlign w:val="center"/>
            <w:hideMark/>
          </w:tcPr>
          <w:p w14:paraId="18B524B4" w14:textId="77777777" w:rsidR="008713E7" w:rsidRPr="00324820" w:rsidRDefault="008713E7" w:rsidP="008713E7">
            <w:pPr>
              <w:rPr>
                <w:rFonts w:cs="Arial"/>
                <w:sz w:val="20"/>
                <w:szCs w:val="20"/>
              </w:rPr>
            </w:pPr>
            <w:r w:rsidRPr="00324820">
              <w:rPr>
                <w:rFonts w:cs="Arial"/>
                <w:sz w:val="20"/>
                <w:szCs w:val="20"/>
              </w:rPr>
              <w:t xml:space="preserve">Fokus </w:t>
            </w:r>
          </w:p>
        </w:tc>
        <w:tc>
          <w:tcPr>
            <w:tcW w:w="1842" w:type="dxa"/>
            <w:vAlign w:val="center"/>
            <w:hideMark/>
          </w:tcPr>
          <w:p w14:paraId="784DC536"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5A938ED1"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3562AF28" w14:textId="77777777" w:rsidTr="001F3738">
        <w:trPr>
          <w:trHeight w:val="288"/>
          <w:jc w:val="center"/>
        </w:trPr>
        <w:tc>
          <w:tcPr>
            <w:tcW w:w="495" w:type="dxa"/>
            <w:vAlign w:val="center"/>
            <w:hideMark/>
          </w:tcPr>
          <w:p w14:paraId="0CA39BB3" w14:textId="77777777" w:rsidR="008713E7" w:rsidRPr="00324820" w:rsidRDefault="008713E7" w:rsidP="008713E7">
            <w:pPr>
              <w:rPr>
                <w:rFonts w:cs="Arial"/>
                <w:sz w:val="20"/>
                <w:szCs w:val="20"/>
              </w:rPr>
            </w:pPr>
            <w:r w:rsidRPr="00324820">
              <w:rPr>
                <w:rFonts w:cs="Arial"/>
                <w:sz w:val="20"/>
                <w:szCs w:val="20"/>
              </w:rPr>
              <w:t>11.</w:t>
            </w:r>
          </w:p>
        </w:tc>
        <w:tc>
          <w:tcPr>
            <w:tcW w:w="5596" w:type="dxa"/>
            <w:vAlign w:val="center"/>
            <w:hideMark/>
          </w:tcPr>
          <w:p w14:paraId="7B98E157" w14:textId="77777777" w:rsidR="008713E7" w:rsidRPr="00324820" w:rsidRDefault="008713E7" w:rsidP="008713E7">
            <w:pPr>
              <w:rPr>
                <w:rFonts w:cs="Arial"/>
                <w:sz w:val="20"/>
                <w:szCs w:val="20"/>
              </w:rPr>
            </w:pPr>
            <w:r w:rsidRPr="00324820">
              <w:rPr>
                <w:rFonts w:cs="Arial"/>
                <w:sz w:val="20"/>
                <w:szCs w:val="20"/>
              </w:rPr>
              <w:t>Građansko-liberalni savez (Glas)</w:t>
            </w:r>
          </w:p>
        </w:tc>
        <w:tc>
          <w:tcPr>
            <w:tcW w:w="1842" w:type="dxa"/>
            <w:vAlign w:val="center"/>
            <w:hideMark/>
          </w:tcPr>
          <w:p w14:paraId="3309B31A"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1628C6E3"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7F7CB69B" w14:textId="77777777" w:rsidTr="001F3738">
        <w:trPr>
          <w:trHeight w:val="288"/>
          <w:jc w:val="center"/>
        </w:trPr>
        <w:tc>
          <w:tcPr>
            <w:tcW w:w="495" w:type="dxa"/>
            <w:vAlign w:val="center"/>
            <w:hideMark/>
          </w:tcPr>
          <w:p w14:paraId="25E67051" w14:textId="77777777" w:rsidR="008713E7" w:rsidRPr="00324820" w:rsidRDefault="008713E7" w:rsidP="008713E7">
            <w:pPr>
              <w:rPr>
                <w:rFonts w:cs="Arial"/>
                <w:sz w:val="20"/>
                <w:szCs w:val="20"/>
              </w:rPr>
            </w:pPr>
            <w:r w:rsidRPr="00324820">
              <w:rPr>
                <w:rFonts w:cs="Arial"/>
                <w:sz w:val="20"/>
                <w:szCs w:val="20"/>
              </w:rPr>
              <w:t>12.</w:t>
            </w:r>
          </w:p>
        </w:tc>
        <w:tc>
          <w:tcPr>
            <w:tcW w:w="5596" w:type="dxa"/>
            <w:vAlign w:val="center"/>
            <w:hideMark/>
          </w:tcPr>
          <w:p w14:paraId="146FA4A7" w14:textId="77777777" w:rsidR="008713E7" w:rsidRPr="00324820" w:rsidRDefault="008713E7" w:rsidP="008713E7">
            <w:pPr>
              <w:rPr>
                <w:rFonts w:cs="Arial"/>
                <w:sz w:val="20"/>
                <w:szCs w:val="20"/>
              </w:rPr>
            </w:pPr>
            <w:r w:rsidRPr="00324820">
              <w:rPr>
                <w:rFonts w:cs="Arial"/>
                <w:sz w:val="20"/>
                <w:szCs w:val="20"/>
              </w:rPr>
              <w:t xml:space="preserve">HRAST – Pokret za uspješnu Hrvatsku </w:t>
            </w:r>
          </w:p>
        </w:tc>
        <w:tc>
          <w:tcPr>
            <w:tcW w:w="1842" w:type="dxa"/>
            <w:vAlign w:val="center"/>
            <w:hideMark/>
          </w:tcPr>
          <w:p w14:paraId="1A0C4A40"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648939D6"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77A74B54" w14:textId="77777777" w:rsidTr="001F3738">
        <w:trPr>
          <w:trHeight w:val="288"/>
          <w:jc w:val="center"/>
        </w:trPr>
        <w:tc>
          <w:tcPr>
            <w:tcW w:w="495" w:type="dxa"/>
            <w:vAlign w:val="center"/>
            <w:hideMark/>
          </w:tcPr>
          <w:p w14:paraId="6E765FC7" w14:textId="77777777" w:rsidR="008713E7" w:rsidRPr="00324820" w:rsidRDefault="008713E7" w:rsidP="008713E7">
            <w:pPr>
              <w:rPr>
                <w:rFonts w:cs="Arial"/>
                <w:sz w:val="20"/>
                <w:szCs w:val="20"/>
              </w:rPr>
            </w:pPr>
            <w:r w:rsidRPr="00324820">
              <w:rPr>
                <w:rFonts w:cs="Arial"/>
                <w:sz w:val="20"/>
                <w:szCs w:val="20"/>
              </w:rPr>
              <w:t>13.</w:t>
            </w:r>
          </w:p>
        </w:tc>
        <w:tc>
          <w:tcPr>
            <w:tcW w:w="5596" w:type="dxa"/>
            <w:vAlign w:val="center"/>
            <w:hideMark/>
          </w:tcPr>
          <w:p w14:paraId="4E453EB7" w14:textId="77777777" w:rsidR="008713E7" w:rsidRPr="00324820" w:rsidRDefault="008713E7" w:rsidP="008713E7">
            <w:pPr>
              <w:rPr>
                <w:rFonts w:cs="Arial"/>
                <w:sz w:val="20"/>
                <w:szCs w:val="20"/>
              </w:rPr>
            </w:pPr>
            <w:r w:rsidRPr="00324820">
              <w:rPr>
                <w:rFonts w:cs="Arial"/>
                <w:sz w:val="20"/>
                <w:szCs w:val="20"/>
              </w:rPr>
              <w:t xml:space="preserve">Hrvatska demokratska zajednica (HDZ) </w:t>
            </w:r>
          </w:p>
        </w:tc>
        <w:tc>
          <w:tcPr>
            <w:tcW w:w="1842" w:type="dxa"/>
            <w:vAlign w:val="center"/>
            <w:hideMark/>
          </w:tcPr>
          <w:p w14:paraId="5183E233"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4B8991B3"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1EAE7BAE" w14:textId="77777777" w:rsidTr="001F3738">
        <w:trPr>
          <w:trHeight w:val="288"/>
          <w:jc w:val="center"/>
        </w:trPr>
        <w:tc>
          <w:tcPr>
            <w:tcW w:w="495" w:type="dxa"/>
            <w:vAlign w:val="center"/>
            <w:hideMark/>
          </w:tcPr>
          <w:p w14:paraId="6801C468" w14:textId="77777777" w:rsidR="008713E7" w:rsidRPr="00324820" w:rsidRDefault="008713E7" w:rsidP="008713E7">
            <w:pPr>
              <w:rPr>
                <w:rFonts w:cs="Arial"/>
                <w:sz w:val="20"/>
                <w:szCs w:val="20"/>
              </w:rPr>
            </w:pPr>
            <w:r w:rsidRPr="00324820">
              <w:rPr>
                <w:rFonts w:cs="Arial"/>
                <w:sz w:val="20"/>
                <w:szCs w:val="20"/>
              </w:rPr>
              <w:t>14.</w:t>
            </w:r>
          </w:p>
        </w:tc>
        <w:tc>
          <w:tcPr>
            <w:tcW w:w="5596" w:type="dxa"/>
            <w:vAlign w:val="center"/>
            <w:hideMark/>
          </w:tcPr>
          <w:p w14:paraId="26D8C364" w14:textId="77777777" w:rsidR="008713E7" w:rsidRPr="00324820" w:rsidRDefault="008713E7" w:rsidP="008713E7">
            <w:pPr>
              <w:rPr>
                <w:rFonts w:cs="Arial"/>
                <w:sz w:val="20"/>
                <w:szCs w:val="20"/>
              </w:rPr>
            </w:pPr>
            <w:r w:rsidRPr="00324820">
              <w:rPr>
                <w:rFonts w:cs="Arial"/>
                <w:sz w:val="20"/>
                <w:szCs w:val="20"/>
              </w:rPr>
              <w:t xml:space="preserve">Hrvatska demokršćanska stranka (HDS) </w:t>
            </w:r>
          </w:p>
        </w:tc>
        <w:tc>
          <w:tcPr>
            <w:tcW w:w="1842" w:type="dxa"/>
            <w:vAlign w:val="center"/>
            <w:hideMark/>
          </w:tcPr>
          <w:p w14:paraId="64CCA599"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19F9C95C"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237B6DB4" w14:textId="77777777" w:rsidTr="001F3738">
        <w:trPr>
          <w:trHeight w:val="288"/>
          <w:jc w:val="center"/>
        </w:trPr>
        <w:tc>
          <w:tcPr>
            <w:tcW w:w="495" w:type="dxa"/>
            <w:vAlign w:val="center"/>
            <w:hideMark/>
          </w:tcPr>
          <w:p w14:paraId="26CB90F6" w14:textId="77777777" w:rsidR="008713E7" w:rsidRPr="00324820" w:rsidRDefault="008713E7" w:rsidP="008713E7">
            <w:pPr>
              <w:rPr>
                <w:rFonts w:cs="Arial"/>
                <w:sz w:val="20"/>
                <w:szCs w:val="20"/>
              </w:rPr>
            </w:pPr>
            <w:r w:rsidRPr="00324820">
              <w:rPr>
                <w:rFonts w:cs="Arial"/>
                <w:sz w:val="20"/>
                <w:szCs w:val="20"/>
              </w:rPr>
              <w:t>15.</w:t>
            </w:r>
          </w:p>
        </w:tc>
        <w:tc>
          <w:tcPr>
            <w:tcW w:w="5596" w:type="dxa"/>
            <w:vAlign w:val="center"/>
            <w:hideMark/>
          </w:tcPr>
          <w:p w14:paraId="6A850388" w14:textId="77777777" w:rsidR="008713E7" w:rsidRPr="00324820" w:rsidRDefault="008713E7" w:rsidP="008713E7">
            <w:pPr>
              <w:rPr>
                <w:rFonts w:cs="Arial"/>
                <w:sz w:val="20"/>
                <w:szCs w:val="20"/>
              </w:rPr>
            </w:pPr>
            <w:r w:rsidRPr="00324820">
              <w:rPr>
                <w:rFonts w:cs="Arial"/>
                <w:sz w:val="20"/>
                <w:szCs w:val="20"/>
              </w:rPr>
              <w:t>Hrvatska konzervativna stranka (HKS)</w:t>
            </w:r>
          </w:p>
        </w:tc>
        <w:tc>
          <w:tcPr>
            <w:tcW w:w="1842" w:type="dxa"/>
            <w:vAlign w:val="center"/>
            <w:hideMark/>
          </w:tcPr>
          <w:p w14:paraId="0BE57444"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7CAA11D7"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730EE008" w14:textId="77777777" w:rsidTr="001F3738">
        <w:trPr>
          <w:trHeight w:val="288"/>
          <w:jc w:val="center"/>
        </w:trPr>
        <w:tc>
          <w:tcPr>
            <w:tcW w:w="495" w:type="dxa"/>
            <w:vAlign w:val="center"/>
            <w:hideMark/>
          </w:tcPr>
          <w:p w14:paraId="512C4AF6" w14:textId="77777777" w:rsidR="008713E7" w:rsidRPr="00324820" w:rsidRDefault="008713E7" w:rsidP="008713E7">
            <w:pPr>
              <w:rPr>
                <w:rFonts w:cs="Arial"/>
                <w:sz w:val="20"/>
                <w:szCs w:val="20"/>
              </w:rPr>
            </w:pPr>
            <w:r w:rsidRPr="00324820">
              <w:rPr>
                <w:rFonts w:cs="Arial"/>
                <w:sz w:val="20"/>
                <w:szCs w:val="20"/>
              </w:rPr>
              <w:t>16.</w:t>
            </w:r>
          </w:p>
        </w:tc>
        <w:tc>
          <w:tcPr>
            <w:tcW w:w="5596" w:type="dxa"/>
            <w:vAlign w:val="center"/>
            <w:hideMark/>
          </w:tcPr>
          <w:p w14:paraId="2B449E87" w14:textId="77777777" w:rsidR="008713E7" w:rsidRPr="00324820" w:rsidRDefault="008713E7" w:rsidP="008713E7">
            <w:pPr>
              <w:rPr>
                <w:rFonts w:cs="Arial"/>
                <w:sz w:val="20"/>
                <w:szCs w:val="20"/>
              </w:rPr>
            </w:pPr>
            <w:r w:rsidRPr="00324820">
              <w:rPr>
                <w:rFonts w:cs="Arial"/>
                <w:sz w:val="20"/>
                <w:szCs w:val="20"/>
              </w:rPr>
              <w:t>Hrvatska narodna stranka – liberalni demokrati (HNS)</w:t>
            </w:r>
          </w:p>
        </w:tc>
        <w:tc>
          <w:tcPr>
            <w:tcW w:w="1842" w:type="dxa"/>
            <w:vAlign w:val="center"/>
            <w:hideMark/>
          </w:tcPr>
          <w:p w14:paraId="02826EBF"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60DF56B9"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6BD328E2" w14:textId="77777777" w:rsidTr="001F3738">
        <w:trPr>
          <w:trHeight w:val="288"/>
          <w:jc w:val="center"/>
        </w:trPr>
        <w:tc>
          <w:tcPr>
            <w:tcW w:w="495" w:type="dxa"/>
            <w:vAlign w:val="center"/>
            <w:hideMark/>
          </w:tcPr>
          <w:p w14:paraId="1CB5882C" w14:textId="77777777" w:rsidR="008713E7" w:rsidRPr="00324820" w:rsidRDefault="008713E7" w:rsidP="008713E7">
            <w:pPr>
              <w:rPr>
                <w:rFonts w:cs="Arial"/>
                <w:sz w:val="20"/>
                <w:szCs w:val="20"/>
              </w:rPr>
            </w:pPr>
            <w:r w:rsidRPr="00324820">
              <w:rPr>
                <w:rFonts w:cs="Arial"/>
                <w:sz w:val="20"/>
                <w:szCs w:val="20"/>
              </w:rPr>
              <w:t>17.</w:t>
            </w:r>
          </w:p>
        </w:tc>
        <w:tc>
          <w:tcPr>
            <w:tcW w:w="5596" w:type="dxa"/>
            <w:vAlign w:val="center"/>
            <w:hideMark/>
          </w:tcPr>
          <w:p w14:paraId="7B35BDCC" w14:textId="77777777" w:rsidR="008713E7" w:rsidRPr="00324820" w:rsidRDefault="008713E7" w:rsidP="008713E7">
            <w:pPr>
              <w:rPr>
                <w:rFonts w:cs="Arial"/>
                <w:sz w:val="20"/>
                <w:szCs w:val="20"/>
              </w:rPr>
            </w:pPr>
            <w:r w:rsidRPr="00324820">
              <w:rPr>
                <w:rFonts w:cs="Arial"/>
                <w:sz w:val="20"/>
                <w:szCs w:val="20"/>
              </w:rPr>
              <w:t>Hrvatska seljačka stranka (HSS)</w:t>
            </w:r>
          </w:p>
        </w:tc>
        <w:tc>
          <w:tcPr>
            <w:tcW w:w="1842" w:type="dxa"/>
            <w:vAlign w:val="center"/>
            <w:hideMark/>
          </w:tcPr>
          <w:p w14:paraId="57BF35B1"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5D7BA76F"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0DA26204" w14:textId="77777777" w:rsidTr="001F3738">
        <w:trPr>
          <w:trHeight w:val="288"/>
          <w:jc w:val="center"/>
        </w:trPr>
        <w:tc>
          <w:tcPr>
            <w:tcW w:w="495" w:type="dxa"/>
            <w:vAlign w:val="center"/>
            <w:hideMark/>
          </w:tcPr>
          <w:p w14:paraId="1ED464F5" w14:textId="77777777" w:rsidR="008713E7" w:rsidRPr="00324820" w:rsidRDefault="008713E7" w:rsidP="008713E7">
            <w:pPr>
              <w:rPr>
                <w:rFonts w:cs="Arial"/>
                <w:sz w:val="20"/>
                <w:szCs w:val="20"/>
              </w:rPr>
            </w:pPr>
            <w:r w:rsidRPr="00324820">
              <w:rPr>
                <w:rFonts w:cs="Arial"/>
                <w:sz w:val="20"/>
                <w:szCs w:val="20"/>
              </w:rPr>
              <w:t>18.</w:t>
            </w:r>
          </w:p>
        </w:tc>
        <w:tc>
          <w:tcPr>
            <w:tcW w:w="5596" w:type="dxa"/>
            <w:vAlign w:val="center"/>
            <w:hideMark/>
          </w:tcPr>
          <w:p w14:paraId="5531D269" w14:textId="77777777" w:rsidR="008713E7" w:rsidRPr="00324820" w:rsidRDefault="008713E7" w:rsidP="008713E7">
            <w:pPr>
              <w:rPr>
                <w:rFonts w:cs="Arial"/>
                <w:sz w:val="20"/>
                <w:szCs w:val="20"/>
              </w:rPr>
            </w:pPr>
            <w:r w:rsidRPr="00324820">
              <w:rPr>
                <w:rFonts w:cs="Arial"/>
                <w:sz w:val="20"/>
                <w:szCs w:val="20"/>
              </w:rPr>
              <w:t>Hrvatska socijalno-liberalna stranka (HSLS)</w:t>
            </w:r>
          </w:p>
        </w:tc>
        <w:tc>
          <w:tcPr>
            <w:tcW w:w="1842" w:type="dxa"/>
            <w:vAlign w:val="center"/>
            <w:hideMark/>
          </w:tcPr>
          <w:p w14:paraId="7361E3F4"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0D72F15E"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31BB60E9" w14:textId="77777777" w:rsidTr="001F3738">
        <w:trPr>
          <w:trHeight w:val="288"/>
          <w:jc w:val="center"/>
        </w:trPr>
        <w:tc>
          <w:tcPr>
            <w:tcW w:w="495" w:type="dxa"/>
            <w:vAlign w:val="center"/>
            <w:hideMark/>
          </w:tcPr>
          <w:p w14:paraId="2996F624" w14:textId="77777777" w:rsidR="008713E7" w:rsidRPr="00324820" w:rsidRDefault="008713E7" w:rsidP="008713E7">
            <w:pPr>
              <w:rPr>
                <w:rFonts w:cs="Arial"/>
                <w:sz w:val="20"/>
                <w:szCs w:val="20"/>
              </w:rPr>
            </w:pPr>
            <w:r w:rsidRPr="00324820">
              <w:rPr>
                <w:rFonts w:cs="Arial"/>
                <w:sz w:val="20"/>
                <w:szCs w:val="20"/>
              </w:rPr>
              <w:t>19.</w:t>
            </w:r>
          </w:p>
        </w:tc>
        <w:tc>
          <w:tcPr>
            <w:tcW w:w="5596" w:type="dxa"/>
            <w:vAlign w:val="center"/>
            <w:hideMark/>
          </w:tcPr>
          <w:p w14:paraId="1F6D8FE2" w14:textId="77777777" w:rsidR="008713E7" w:rsidRPr="00324820" w:rsidRDefault="008713E7" w:rsidP="008713E7">
            <w:pPr>
              <w:rPr>
                <w:rFonts w:cs="Arial"/>
                <w:sz w:val="20"/>
                <w:szCs w:val="20"/>
              </w:rPr>
            </w:pPr>
            <w:r w:rsidRPr="00324820">
              <w:rPr>
                <w:rFonts w:cs="Arial"/>
                <w:sz w:val="20"/>
                <w:szCs w:val="20"/>
              </w:rPr>
              <w:t>Hrvatska stranka prava (HSP)</w:t>
            </w:r>
          </w:p>
        </w:tc>
        <w:tc>
          <w:tcPr>
            <w:tcW w:w="1842" w:type="dxa"/>
            <w:vAlign w:val="center"/>
            <w:hideMark/>
          </w:tcPr>
          <w:p w14:paraId="49358B8C"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26374769"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21EF8B8C" w14:textId="77777777" w:rsidTr="001F3738">
        <w:trPr>
          <w:trHeight w:val="288"/>
          <w:jc w:val="center"/>
        </w:trPr>
        <w:tc>
          <w:tcPr>
            <w:tcW w:w="495" w:type="dxa"/>
            <w:vAlign w:val="center"/>
            <w:hideMark/>
          </w:tcPr>
          <w:p w14:paraId="7C819558" w14:textId="77777777" w:rsidR="008713E7" w:rsidRPr="00324820" w:rsidRDefault="008713E7" w:rsidP="008713E7">
            <w:pPr>
              <w:rPr>
                <w:rFonts w:cs="Arial"/>
                <w:sz w:val="20"/>
                <w:szCs w:val="20"/>
              </w:rPr>
            </w:pPr>
            <w:r w:rsidRPr="00324820">
              <w:rPr>
                <w:rFonts w:cs="Arial"/>
                <w:sz w:val="20"/>
                <w:szCs w:val="20"/>
              </w:rPr>
              <w:t>20.</w:t>
            </w:r>
          </w:p>
        </w:tc>
        <w:tc>
          <w:tcPr>
            <w:tcW w:w="5596" w:type="dxa"/>
            <w:vAlign w:val="center"/>
            <w:hideMark/>
          </w:tcPr>
          <w:p w14:paraId="124B54D8" w14:textId="77777777" w:rsidR="008713E7" w:rsidRPr="00324820" w:rsidRDefault="008713E7" w:rsidP="008713E7">
            <w:pPr>
              <w:rPr>
                <w:rFonts w:cs="Arial"/>
                <w:sz w:val="20"/>
                <w:szCs w:val="20"/>
              </w:rPr>
            </w:pPr>
            <w:r w:rsidRPr="00324820">
              <w:rPr>
                <w:rFonts w:cs="Arial"/>
                <w:sz w:val="20"/>
                <w:szCs w:val="20"/>
              </w:rPr>
              <w:t>Hrvatska stranka umirovljenika (HSU)</w:t>
            </w:r>
          </w:p>
        </w:tc>
        <w:tc>
          <w:tcPr>
            <w:tcW w:w="1842" w:type="dxa"/>
            <w:vAlign w:val="center"/>
            <w:hideMark/>
          </w:tcPr>
          <w:p w14:paraId="6F02B051"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55330910"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310CDCE5" w14:textId="77777777" w:rsidTr="001F3738">
        <w:trPr>
          <w:trHeight w:val="288"/>
          <w:jc w:val="center"/>
        </w:trPr>
        <w:tc>
          <w:tcPr>
            <w:tcW w:w="495" w:type="dxa"/>
            <w:vAlign w:val="center"/>
            <w:hideMark/>
          </w:tcPr>
          <w:p w14:paraId="7DC94070" w14:textId="77777777" w:rsidR="008713E7" w:rsidRPr="00324820" w:rsidRDefault="008713E7" w:rsidP="008713E7">
            <w:pPr>
              <w:rPr>
                <w:rFonts w:cs="Arial"/>
                <w:sz w:val="20"/>
                <w:szCs w:val="20"/>
              </w:rPr>
            </w:pPr>
            <w:r w:rsidRPr="00324820">
              <w:rPr>
                <w:rFonts w:cs="Arial"/>
                <w:sz w:val="20"/>
                <w:szCs w:val="20"/>
              </w:rPr>
              <w:t>21.</w:t>
            </w:r>
          </w:p>
        </w:tc>
        <w:tc>
          <w:tcPr>
            <w:tcW w:w="5596" w:type="dxa"/>
            <w:vAlign w:val="center"/>
            <w:hideMark/>
          </w:tcPr>
          <w:p w14:paraId="2CBA0CF0" w14:textId="77777777" w:rsidR="008713E7" w:rsidRPr="00324820" w:rsidRDefault="008713E7" w:rsidP="008713E7">
            <w:pPr>
              <w:rPr>
                <w:rFonts w:cs="Arial"/>
                <w:sz w:val="20"/>
                <w:szCs w:val="20"/>
              </w:rPr>
            </w:pPr>
            <w:r w:rsidRPr="00324820">
              <w:rPr>
                <w:rFonts w:cs="Arial"/>
                <w:sz w:val="20"/>
                <w:szCs w:val="20"/>
              </w:rPr>
              <w:t>Hrvatski demokratski savez Slavonije i Baranje (HDSSB)</w:t>
            </w:r>
          </w:p>
        </w:tc>
        <w:tc>
          <w:tcPr>
            <w:tcW w:w="1842" w:type="dxa"/>
            <w:vAlign w:val="center"/>
            <w:hideMark/>
          </w:tcPr>
          <w:p w14:paraId="788F1D97"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256F11DC"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2876E1D3" w14:textId="77777777" w:rsidTr="001F3738">
        <w:trPr>
          <w:trHeight w:val="288"/>
          <w:jc w:val="center"/>
        </w:trPr>
        <w:tc>
          <w:tcPr>
            <w:tcW w:w="495" w:type="dxa"/>
            <w:vAlign w:val="center"/>
            <w:hideMark/>
          </w:tcPr>
          <w:p w14:paraId="55830AF7" w14:textId="77777777" w:rsidR="008713E7" w:rsidRPr="00324820" w:rsidRDefault="008713E7" w:rsidP="008713E7">
            <w:pPr>
              <w:rPr>
                <w:rFonts w:cs="Arial"/>
                <w:sz w:val="20"/>
                <w:szCs w:val="20"/>
              </w:rPr>
            </w:pPr>
            <w:r w:rsidRPr="00324820">
              <w:rPr>
                <w:rFonts w:cs="Arial"/>
                <w:sz w:val="20"/>
                <w:szCs w:val="20"/>
              </w:rPr>
              <w:t>22.</w:t>
            </w:r>
          </w:p>
        </w:tc>
        <w:tc>
          <w:tcPr>
            <w:tcW w:w="5596" w:type="dxa"/>
            <w:vAlign w:val="center"/>
            <w:hideMark/>
          </w:tcPr>
          <w:p w14:paraId="1F489467" w14:textId="77777777" w:rsidR="008713E7" w:rsidRPr="00324820" w:rsidRDefault="008713E7" w:rsidP="008713E7">
            <w:pPr>
              <w:rPr>
                <w:rFonts w:cs="Arial"/>
                <w:sz w:val="20"/>
                <w:szCs w:val="20"/>
              </w:rPr>
            </w:pPr>
            <w:r w:rsidRPr="00324820">
              <w:rPr>
                <w:rFonts w:cs="Arial"/>
                <w:sz w:val="20"/>
                <w:szCs w:val="20"/>
              </w:rPr>
              <w:t>Hrvatski oslobodilački pokret (HOP)</w:t>
            </w:r>
          </w:p>
        </w:tc>
        <w:tc>
          <w:tcPr>
            <w:tcW w:w="1842" w:type="dxa"/>
            <w:vAlign w:val="center"/>
            <w:hideMark/>
          </w:tcPr>
          <w:p w14:paraId="3E71F1C2"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34547E1D"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42EC9AE9" w14:textId="77777777" w:rsidTr="001F3738">
        <w:trPr>
          <w:trHeight w:val="288"/>
          <w:jc w:val="center"/>
        </w:trPr>
        <w:tc>
          <w:tcPr>
            <w:tcW w:w="495" w:type="dxa"/>
            <w:vAlign w:val="center"/>
            <w:hideMark/>
          </w:tcPr>
          <w:p w14:paraId="73C21379" w14:textId="77777777" w:rsidR="008713E7" w:rsidRPr="00324820" w:rsidRDefault="008713E7" w:rsidP="008713E7">
            <w:pPr>
              <w:rPr>
                <w:rFonts w:cs="Arial"/>
                <w:sz w:val="20"/>
                <w:szCs w:val="20"/>
              </w:rPr>
            </w:pPr>
            <w:r w:rsidRPr="00324820">
              <w:rPr>
                <w:rFonts w:cs="Arial"/>
                <w:sz w:val="20"/>
                <w:szCs w:val="20"/>
              </w:rPr>
              <w:t>23.</w:t>
            </w:r>
          </w:p>
        </w:tc>
        <w:tc>
          <w:tcPr>
            <w:tcW w:w="5596" w:type="dxa"/>
            <w:vAlign w:val="center"/>
            <w:hideMark/>
          </w:tcPr>
          <w:p w14:paraId="7771EF28" w14:textId="77777777" w:rsidR="008713E7" w:rsidRPr="00324820" w:rsidRDefault="008713E7" w:rsidP="008713E7">
            <w:pPr>
              <w:rPr>
                <w:rFonts w:cs="Arial"/>
                <w:sz w:val="20"/>
                <w:szCs w:val="20"/>
              </w:rPr>
            </w:pPr>
            <w:r w:rsidRPr="00324820">
              <w:rPr>
                <w:rFonts w:cs="Arial"/>
                <w:sz w:val="20"/>
                <w:szCs w:val="20"/>
              </w:rPr>
              <w:t xml:space="preserve">Hrvatski suverenisti </w:t>
            </w:r>
          </w:p>
        </w:tc>
        <w:tc>
          <w:tcPr>
            <w:tcW w:w="1842" w:type="dxa"/>
            <w:vAlign w:val="center"/>
            <w:hideMark/>
          </w:tcPr>
          <w:p w14:paraId="68F0C871"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78467B14"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6D291241" w14:textId="77777777" w:rsidTr="001F3738">
        <w:trPr>
          <w:trHeight w:val="288"/>
          <w:jc w:val="center"/>
        </w:trPr>
        <w:tc>
          <w:tcPr>
            <w:tcW w:w="495" w:type="dxa"/>
            <w:vAlign w:val="center"/>
            <w:hideMark/>
          </w:tcPr>
          <w:p w14:paraId="09FFC52C" w14:textId="77777777" w:rsidR="008713E7" w:rsidRPr="00324820" w:rsidRDefault="008713E7" w:rsidP="008713E7">
            <w:pPr>
              <w:rPr>
                <w:rFonts w:cs="Arial"/>
                <w:sz w:val="20"/>
                <w:szCs w:val="20"/>
              </w:rPr>
            </w:pPr>
            <w:r w:rsidRPr="00324820">
              <w:rPr>
                <w:rFonts w:cs="Arial"/>
                <w:sz w:val="20"/>
                <w:szCs w:val="20"/>
              </w:rPr>
              <w:t>24.</w:t>
            </w:r>
          </w:p>
        </w:tc>
        <w:tc>
          <w:tcPr>
            <w:tcW w:w="5596" w:type="dxa"/>
            <w:vAlign w:val="center"/>
            <w:hideMark/>
          </w:tcPr>
          <w:p w14:paraId="343BEB5F" w14:textId="77777777" w:rsidR="008713E7" w:rsidRPr="00324820" w:rsidRDefault="008713E7" w:rsidP="008713E7">
            <w:pPr>
              <w:rPr>
                <w:rFonts w:cs="Arial"/>
                <w:sz w:val="20"/>
                <w:szCs w:val="20"/>
              </w:rPr>
            </w:pPr>
            <w:r w:rsidRPr="00324820">
              <w:rPr>
                <w:rFonts w:cs="Arial"/>
                <w:sz w:val="20"/>
                <w:szCs w:val="20"/>
              </w:rPr>
              <w:t>Hrvatsko bilo (HRB)</w:t>
            </w:r>
          </w:p>
        </w:tc>
        <w:tc>
          <w:tcPr>
            <w:tcW w:w="1842" w:type="dxa"/>
            <w:vAlign w:val="center"/>
            <w:hideMark/>
          </w:tcPr>
          <w:p w14:paraId="79C172CD"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0D5E13C5"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2F893CCF" w14:textId="77777777" w:rsidTr="001F3738">
        <w:trPr>
          <w:trHeight w:val="288"/>
          <w:jc w:val="center"/>
        </w:trPr>
        <w:tc>
          <w:tcPr>
            <w:tcW w:w="495" w:type="dxa"/>
            <w:vAlign w:val="center"/>
            <w:hideMark/>
          </w:tcPr>
          <w:p w14:paraId="5BAE2F76" w14:textId="77777777" w:rsidR="008713E7" w:rsidRPr="00324820" w:rsidRDefault="008713E7" w:rsidP="008713E7">
            <w:pPr>
              <w:rPr>
                <w:rFonts w:cs="Arial"/>
                <w:sz w:val="20"/>
                <w:szCs w:val="20"/>
              </w:rPr>
            </w:pPr>
            <w:r w:rsidRPr="00324820">
              <w:rPr>
                <w:rFonts w:cs="Arial"/>
                <w:sz w:val="20"/>
                <w:szCs w:val="20"/>
              </w:rPr>
              <w:t>25.</w:t>
            </w:r>
          </w:p>
        </w:tc>
        <w:tc>
          <w:tcPr>
            <w:tcW w:w="5596" w:type="dxa"/>
            <w:vAlign w:val="center"/>
            <w:hideMark/>
          </w:tcPr>
          <w:p w14:paraId="445FB8C7" w14:textId="77777777" w:rsidR="008713E7" w:rsidRPr="00324820" w:rsidRDefault="008713E7" w:rsidP="008713E7">
            <w:pPr>
              <w:rPr>
                <w:rFonts w:cs="Arial"/>
                <w:sz w:val="20"/>
                <w:szCs w:val="20"/>
              </w:rPr>
            </w:pPr>
            <w:r w:rsidRPr="00324820">
              <w:rPr>
                <w:rFonts w:cs="Arial"/>
                <w:sz w:val="20"/>
                <w:szCs w:val="20"/>
              </w:rPr>
              <w:t>Istarska stranka umirovljenika – Partito Istriano dei pensionati (ISU – PIP)</w:t>
            </w:r>
          </w:p>
        </w:tc>
        <w:tc>
          <w:tcPr>
            <w:tcW w:w="1842" w:type="dxa"/>
            <w:vAlign w:val="center"/>
            <w:hideMark/>
          </w:tcPr>
          <w:p w14:paraId="27408E40"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729DEC90"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1345B2D1" w14:textId="77777777" w:rsidTr="001F3738">
        <w:trPr>
          <w:trHeight w:val="288"/>
          <w:jc w:val="center"/>
        </w:trPr>
        <w:tc>
          <w:tcPr>
            <w:tcW w:w="495" w:type="dxa"/>
            <w:vAlign w:val="center"/>
            <w:hideMark/>
          </w:tcPr>
          <w:p w14:paraId="3EEEABA3" w14:textId="77777777" w:rsidR="008713E7" w:rsidRPr="00324820" w:rsidRDefault="008713E7" w:rsidP="008713E7">
            <w:pPr>
              <w:rPr>
                <w:rFonts w:cs="Arial"/>
                <w:sz w:val="20"/>
                <w:szCs w:val="20"/>
              </w:rPr>
            </w:pPr>
            <w:r w:rsidRPr="00324820">
              <w:rPr>
                <w:rFonts w:cs="Arial"/>
                <w:sz w:val="20"/>
                <w:szCs w:val="20"/>
              </w:rPr>
              <w:t>26.</w:t>
            </w:r>
          </w:p>
        </w:tc>
        <w:tc>
          <w:tcPr>
            <w:tcW w:w="5596" w:type="dxa"/>
            <w:vAlign w:val="center"/>
            <w:hideMark/>
          </w:tcPr>
          <w:p w14:paraId="653B6F45" w14:textId="77777777" w:rsidR="008713E7" w:rsidRPr="00324820" w:rsidRDefault="008713E7" w:rsidP="008713E7">
            <w:pPr>
              <w:rPr>
                <w:rFonts w:cs="Arial"/>
                <w:sz w:val="20"/>
                <w:szCs w:val="20"/>
              </w:rPr>
            </w:pPr>
            <w:r w:rsidRPr="00324820">
              <w:rPr>
                <w:rFonts w:cs="Arial"/>
                <w:sz w:val="20"/>
                <w:szCs w:val="20"/>
              </w:rPr>
              <w:t>Istarski demokratski sabor (IDS)</w:t>
            </w:r>
          </w:p>
        </w:tc>
        <w:tc>
          <w:tcPr>
            <w:tcW w:w="1842" w:type="dxa"/>
            <w:vAlign w:val="center"/>
            <w:hideMark/>
          </w:tcPr>
          <w:p w14:paraId="342888DA"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1216E46C"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06489642" w14:textId="77777777" w:rsidTr="001F3738">
        <w:trPr>
          <w:trHeight w:val="288"/>
          <w:jc w:val="center"/>
        </w:trPr>
        <w:tc>
          <w:tcPr>
            <w:tcW w:w="495" w:type="dxa"/>
            <w:vAlign w:val="center"/>
            <w:hideMark/>
          </w:tcPr>
          <w:p w14:paraId="73E9BC83" w14:textId="77777777" w:rsidR="008713E7" w:rsidRPr="00324820" w:rsidRDefault="008713E7" w:rsidP="008713E7">
            <w:pPr>
              <w:rPr>
                <w:rFonts w:cs="Arial"/>
                <w:sz w:val="20"/>
                <w:szCs w:val="20"/>
              </w:rPr>
            </w:pPr>
            <w:r w:rsidRPr="00324820">
              <w:rPr>
                <w:rFonts w:cs="Arial"/>
                <w:sz w:val="20"/>
                <w:szCs w:val="20"/>
              </w:rPr>
              <w:t>27.</w:t>
            </w:r>
          </w:p>
        </w:tc>
        <w:tc>
          <w:tcPr>
            <w:tcW w:w="5596" w:type="dxa"/>
            <w:vAlign w:val="center"/>
            <w:hideMark/>
          </w:tcPr>
          <w:p w14:paraId="68F1DD75" w14:textId="77777777" w:rsidR="008713E7" w:rsidRPr="00324820" w:rsidRDefault="008713E7" w:rsidP="008713E7">
            <w:pPr>
              <w:rPr>
                <w:rFonts w:cs="Arial"/>
                <w:sz w:val="20"/>
                <w:szCs w:val="20"/>
              </w:rPr>
            </w:pPr>
            <w:r w:rsidRPr="00324820">
              <w:rPr>
                <w:rFonts w:cs="Arial"/>
                <w:sz w:val="20"/>
                <w:szCs w:val="20"/>
              </w:rPr>
              <w:t>LiPO</w:t>
            </w:r>
          </w:p>
        </w:tc>
        <w:tc>
          <w:tcPr>
            <w:tcW w:w="1842" w:type="dxa"/>
            <w:vAlign w:val="center"/>
            <w:hideMark/>
          </w:tcPr>
          <w:p w14:paraId="21C9B2B0"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51D8D3F7"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5B5B9616" w14:textId="77777777" w:rsidTr="001F3738">
        <w:trPr>
          <w:trHeight w:val="288"/>
          <w:jc w:val="center"/>
        </w:trPr>
        <w:tc>
          <w:tcPr>
            <w:tcW w:w="495" w:type="dxa"/>
            <w:vAlign w:val="center"/>
            <w:hideMark/>
          </w:tcPr>
          <w:p w14:paraId="29B90831" w14:textId="77777777" w:rsidR="008713E7" w:rsidRPr="00324820" w:rsidRDefault="008713E7" w:rsidP="008713E7">
            <w:pPr>
              <w:rPr>
                <w:rFonts w:cs="Arial"/>
                <w:sz w:val="20"/>
                <w:szCs w:val="20"/>
              </w:rPr>
            </w:pPr>
            <w:r w:rsidRPr="00324820">
              <w:rPr>
                <w:rFonts w:cs="Arial"/>
                <w:sz w:val="20"/>
                <w:szCs w:val="20"/>
              </w:rPr>
              <w:t>28.</w:t>
            </w:r>
          </w:p>
        </w:tc>
        <w:tc>
          <w:tcPr>
            <w:tcW w:w="5596" w:type="dxa"/>
            <w:vAlign w:val="center"/>
            <w:hideMark/>
          </w:tcPr>
          <w:p w14:paraId="3A7C0BB4" w14:textId="77777777" w:rsidR="008713E7" w:rsidRPr="00324820" w:rsidRDefault="008713E7" w:rsidP="008713E7">
            <w:pPr>
              <w:rPr>
                <w:rFonts w:cs="Arial"/>
                <w:sz w:val="20"/>
                <w:szCs w:val="20"/>
              </w:rPr>
            </w:pPr>
            <w:r w:rsidRPr="00324820">
              <w:rPr>
                <w:rFonts w:cs="Arial"/>
                <w:sz w:val="20"/>
                <w:szCs w:val="20"/>
              </w:rPr>
              <w:t xml:space="preserve">Most </w:t>
            </w:r>
          </w:p>
        </w:tc>
        <w:tc>
          <w:tcPr>
            <w:tcW w:w="1842" w:type="dxa"/>
            <w:vAlign w:val="center"/>
            <w:hideMark/>
          </w:tcPr>
          <w:p w14:paraId="43D9D24E"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1665D2FB"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7E3E4E2A" w14:textId="77777777" w:rsidTr="001F3738">
        <w:trPr>
          <w:trHeight w:val="288"/>
          <w:jc w:val="center"/>
        </w:trPr>
        <w:tc>
          <w:tcPr>
            <w:tcW w:w="495" w:type="dxa"/>
            <w:vAlign w:val="center"/>
            <w:hideMark/>
          </w:tcPr>
          <w:p w14:paraId="6399BEF4" w14:textId="77777777" w:rsidR="008713E7" w:rsidRPr="00324820" w:rsidRDefault="008713E7" w:rsidP="008713E7">
            <w:pPr>
              <w:rPr>
                <w:rFonts w:cs="Arial"/>
                <w:sz w:val="20"/>
                <w:szCs w:val="20"/>
              </w:rPr>
            </w:pPr>
            <w:r w:rsidRPr="00324820">
              <w:rPr>
                <w:rFonts w:cs="Arial"/>
                <w:sz w:val="20"/>
                <w:szCs w:val="20"/>
              </w:rPr>
              <w:t>29.</w:t>
            </w:r>
          </w:p>
        </w:tc>
        <w:tc>
          <w:tcPr>
            <w:tcW w:w="5596" w:type="dxa"/>
            <w:vAlign w:val="center"/>
            <w:hideMark/>
          </w:tcPr>
          <w:p w14:paraId="1C3F853D" w14:textId="77777777" w:rsidR="008713E7" w:rsidRPr="00324820" w:rsidRDefault="008713E7" w:rsidP="008713E7">
            <w:pPr>
              <w:rPr>
                <w:rFonts w:cs="Arial"/>
                <w:sz w:val="20"/>
                <w:szCs w:val="20"/>
              </w:rPr>
            </w:pPr>
            <w:r w:rsidRPr="00324820">
              <w:rPr>
                <w:rFonts w:cs="Arial"/>
                <w:sz w:val="20"/>
                <w:szCs w:val="20"/>
              </w:rPr>
              <w:t>Možemo! – politička platforma (Možemo!)</w:t>
            </w:r>
          </w:p>
        </w:tc>
        <w:tc>
          <w:tcPr>
            <w:tcW w:w="1842" w:type="dxa"/>
            <w:vAlign w:val="center"/>
            <w:hideMark/>
          </w:tcPr>
          <w:p w14:paraId="4BE72C88"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7EA44029"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1F0D175A" w14:textId="77777777" w:rsidTr="001F3738">
        <w:trPr>
          <w:trHeight w:val="288"/>
          <w:jc w:val="center"/>
        </w:trPr>
        <w:tc>
          <w:tcPr>
            <w:tcW w:w="495" w:type="dxa"/>
            <w:vAlign w:val="center"/>
            <w:hideMark/>
          </w:tcPr>
          <w:p w14:paraId="3749A967" w14:textId="77777777" w:rsidR="008713E7" w:rsidRPr="00324820" w:rsidRDefault="008713E7" w:rsidP="008713E7">
            <w:pPr>
              <w:rPr>
                <w:rFonts w:cs="Arial"/>
                <w:sz w:val="20"/>
                <w:szCs w:val="20"/>
              </w:rPr>
            </w:pPr>
            <w:r w:rsidRPr="00324820">
              <w:rPr>
                <w:rFonts w:cs="Arial"/>
                <w:sz w:val="20"/>
                <w:szCs w:val="20"/>
              </w:rPr>
              <w:t>30.</w:t>
            </w:r>
          </w:p>
        </w:tc>
        <w:tc>
          <w:tcPr>
            <w:tcW w:w="5596" w:type="dxa"/>
            <w:vAlign w:val="center"/>
            <w:hideMark/>
          </w:tcPr>
          <w:p w14:paraId="1FF4AFE8" w14:textId="77777777" w:rsidR="008713E7" w:rsidRPr="00324820" w:rsidRDefault="008713E7" w:rsidP="008713E7">
            <w:pPr>
              <w:rPr>
                <w:rFonts w:cs="Arial"/>
                <w:sz w:val="20"/>
                <w:szCs w:val="20"/>
              </w:rPr>
            </w:pPr>
            <w:r w:rsidRPr="00324820">
              <w:rPr>
                <w:rFonts w:cs="Arial"/>
                <w:sz w:val="20"/>
                <w:szCs w:val="20"/>
              </w:rPr>
              <w:t>Narodna stranka – REFORMISTI (REFORMISTI)</w:t>
            </w:r>
          </w:p>
        </w:tc>
        <w:tc>
          <w:tcPr>
            <w:tcW w:w="1842" w:type="dxa"/>
            <w:vAlign w:val="center"/>
            <w:hideMark/>
          </w:tcPr>
          <w:p w14:paraId="090D28CF"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58E3324A"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24E1CB7C" w14:textId="77777777" w:rsidTr="001F3738">
        <w:trPr>
          <w:trHeight w:val="288"/>
          <w:jc w:val="center"/>
        </w:trPr>
        <w:tc>
          <w:tcPr>
            <w:tcW w:w="495" w:type="dxa"/>
            <w:vAlign w:val="center"/>
            <w:hideMark/>
          </w:tcPr>
          <w:p w14:paraId="5445A2B3" w14:textId="77777777" w:rsidR="008713E7" w:rsidRPr="00324820" w:rsidRDefault="008713E7" w:rsidP="008713E7">
            <w:pPr>
              <w:rPr>
                <w:rFonts w:cs="Arial"/>
                <w:sz w:val="20"/>
                <w:szCs w:val="20"/>
              </w:rPr>
            </w:pPr>
            <w:r w:rsidRPr="00324820">
              <w:rPr>
                <w:rFonts w:cs="Arial"/>
                <w:sz w:val="20"/>
                <w:szCs w:val="20"/>
              </w:rPr>
              <w:t>31.</w:t>
            </w:r>
          </w:p>
        </w:tc>
        <w:tc>
          <w:tcPr>
            <w:tcW w:w="5596" w:type="dxa"/>
            <w:vAlign w:val="center"/>
            <w:hideMark/>
          </w:tcPr>
          <w:p w14:paraId="0E7F800D" w14:textId="77777777" w:rsidR="008713E7" w:rsidRPr="00324820" w:rsidRDefault="008713E7" w:rsidP="008713E7">
            <w:pPr>
              <w:rPr>
                <w:rFonts w:cs="Arial"/>
                <w:sz w:val="20"/>
                <w:szCs w:val="20"/>
              </w:rPr>
            </w:pPr>
            <w:r w:rsidRPr="00324820">
              <w:rPr>
                <w:rFonts w:cs="Arial"/>
                <w:sz w:val="20"/>
                <w:szCs w:val="20"/>
              </w:rPr>
              <w:t>Nezavisna lista mladih (NLM)</w:t>
            </w:r>
          </w:p>
        </w:tc>
        <w:tc>
          <w:tcPr>
            <w:tcW w:w="1842" w:type="dxa"/>
            <w:vAlign w:val="center"/>
            <w:hideMark/>
          </w:tcPr>
          <w:p w14:paraId="4C603017"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2121B321"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42323684" w14:textId="77777777" w:rsidTr="001F3738">
        <w:trPr>
          <w:trHeight w:val="288"/>
          <w:jc w:val="center"/>
        </w:trPr>
        <w:tc>
          <w:tcPr>
            <w:tcW w:w="495" w:type="dxa"/>
            <w:vAlign w:val="center"/>
            <w:hideMark/>
          </w:tcPr>
          <w:p w14:paraId="05482D5E" w14:textId="77777777" w:rsidR="008713E7" w:rsidRPr="00324820" w:rsidRDefault="008713E7" w:rsidP="008713E7">
            <w:pPr>
              <w:rPr>
                <w:rFonts w:cs="Arial"/>
                <w:sz w:val="20"/>
                <w:szCs w:val="20"/>
              </w:rPr>
            </w:pPr>
            <w:r w:rsidRPr="00324820">
              <w:rPr>
                <w:rFonts w:cs="Arial"/>
                <w:sz w:val="20"/>
                <w:szCs w:val="20"/>
              </w:rPr>
              <w:t>32.</w:t>
            </w:r>
          </w:p>
        </w:tc>
        <w:tc>
          <w:tcPr>
            <w:tcW w:w="5596" w:type="dxa"/>
            <w:vAlign w:val="center"/>
            <w:hideMark/>
          </w:tcPr>
          <w:p w14:paraId="3D01100B" w14:textId="77777777" w:rsidR="008713E7" w:rsidRPr="00324820" w:rsidRDefault="008713E7" w:rsidP="008713E7">
            <w:pPr>
              <w:rPr>
                <w:rFonts w:cs="Arial"/>
                <w:sz w:val="20"/>
                <w:szCs w:val="20"/>
              </w:rPr>
            </w:pPr>
            <w:r w:rsidRPr="00324820">
              <w:rPr>
                <w:rFonts w:cs="Arial"/>
                <w:sz w:val="20"/>
                <w:szCs w:val="20"/>
              </w:rPr>
              <w:t>Nezavisna lista Stipe Petrina (NLSP)</w:t>
            </w:r>
          </w:p>
        </w:tc>
        <w:tc>
          <w:tcPr>
            <w:tcW w:w="1842" w:type="dxa"/>
            <w:vAlign w:val="center"/>
            <w:hideMark/>
          </w:tcPr>
          <w:p w14:paraId="6CD145DE"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3372479E"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59003018" w14:textId="77777777" w:rsidTr="001F3738">
        <w:trPr>
          <w:trHeight w:val="288"/>
          <w:jc w:val="center"/>
        </w:trPr>
        <w:tc>
          <w:tcPr>
            <w:tcW w:w="495" w:type="dxa"/>
            <w:vAlign w:val="center"/>
            <w:hideMark/>
          </w:tcPr>
          <w:p w14:paraId="1B622FAF" w14:textId="77777777" w:rsidR="008713E7" w:rsidRPr="00324820" w:rsidRDefault="008713E7" w:rsidP="008713E7">
            <w:pPr>
              <w:rPr>
                <w:rFonts w:cs="Arial"/>
                <w:sz w:val="20"/>
                <w:szCs w:val="20"/>
              </w:rPr>
            </w:pPr>
            <w:r w:rsidRPr="00324820">
              <w:rPr>
                <w:rFonts w:cs="Arial"/>
                <w:sz w:val="20"/>
                <w:szCs w:val="20"/>
              </w:rPr>
              <w:t>33.</w:t>
            </w:r>
          </w:p>
        </w:tc>
        <w:tc>
          <w:tcPr>
            <w:tcW w:w="5596" w:type="dxa"/>
            <w:vAlign w:val="center"/>
            <w:hideMark/>
          </w:tcPr>
          <w:p w14:paraId="20CC1C3A" w14:textId="77777777" w:rsidR="008713E7" w:rsidRPr="00324820" w:rsidRDefault="008713E7" w:rsidP="008713E7">
            <w:pPr>
              <w:rPr>
                <w:rFonts w:cs="Arial"/>
                <w:sz w:val="20"/>
                <w:szCs w:val="20"/>
              </w:rPr>
            </w:pPr>
            <w:r w:rsidRPr="00324820">
              <w:rPr>
                <w:rFonts w:cs="Arial"/>
                <w:sz w:val="20"/>
                <w:szCs w:val="20"/>
              </w:rPr>
              <w:t>Nezavisna lista Višnjan (NLV)</w:t>
            </w:r>
          </w:p>
        </w:tc>
        <w:tc>
          <w:tcPr>
            <w:tcW w:w="1842" w:type="dxa"/>
            <w:vAlign w:val="center"/>
            <w:hideMark/>
          </w:tcPr>
          <w:p w14:paraId="516393C4"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7428B6F8"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6AE51C5D" w14:textId="77777777" w:rsidTr="001F3738">
        <w:trPr>
          <w:trHeight w:val="288"/>
          <w:jc w:val="center"/>
        </w:trPr>
        <w:tc>
          <w:tcPr>
            <w:tcW w:w="495" w:type="dxa"/>
            <w:vAlign w:val="center"/>
            <w:hideMark/>
          </w:tcPr>
          <w:p w14:paraId="7741E70D" w14:textId="77777777" w:rsidR="008713E7" w:rsidRPr="00324820" w:rsidRDefault="008713E7" w:rsidP="008713E7">
            <w:pPr>
              <w:rPr>
                <w:rFonts w:cs="Arial"/>
                <w:sz w:val="20"/>
                <w:szCs w:val="20"/>
              </w:rPr>
            </w:pPr>
            <w:r w:rsidRPr="00324820">
              <w:rPr>
                <w:rFonts w:cs="Arial"/>
                <w:sz w:val="20"/>
                <w:szCs w:val="20"/>
              </w:rPr>
              <w:t>34.</w:t>
            </w:r>
          </w:p>
        </w:tc>
        <w:tc>
          <w:tcPr>
            <w:tcW w:w="5596" w:type="dxa"/>
            <w:vAlign w:val="center"/>
            <w:hideMark/>
          </w:tcPr>
          <w:p w14:paraId="3649D1DD" w14:textId="77777777" w:rsidR="008713E7" w:rsidRPr="00324820" w:rsidRDefault="008713E7" w:rsidP="008713E7">
            <w:pPr>
              <w:rPr>
                <w:rFonts w:cs="Arial"/>
                <w:sz w:val="20"/>
                <w:szCs w:val="20"/>
              </w:rPr>
            </w:pPr>
            <w:r w:rsidRPr="00324820">
              <w:rPr>
                <w:rFonts w:cs="Arial"/>
                <w:sz w:val="20"/>
                <w:szCs w:val="20"/>
              </w:rPr>
              <w:t>Nezavisna platforma Sjevera (NPS)</w:t>
            </w:r>
          </w:p>
        </w:tc>
        <w:tc>
          <w:tcPr>
            <w:tcW w:w="1842" w:type="dxa"/>
            <w:vAlign w:val="center"/>
            <w:hideMark/>
          </w:tcPr>
          <w:p w14:paraId="4904D3BE"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593BEC4D"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721D8CC2" w14:textId="77777777" w:rsidTr="001F3738">
        <w:trPr>
          <w:trHeight w:val="288"/>
          <w:jc w:val="center"/>
        </w:trPr>
        <w:tc>
          <w:tcPr>
            <w:tcW w:w="495" w:type="dxa"/>
            <w:vAlign w:val="center"/>
            <w:hideMark/>
          </w:tcPr>
          <w:p w14:paraId="727E062E" w14:textId="77777777" w:rsidR="008713E7" w:rsidRPr="00324820" w:rsidRDefault="008713E7" w:rsidP="008713E7">
            <w:pPr>
              <w:rPr>
                <w:rFonts w:cs="Arial"/>
                <w:sz w:val="20"/>
                <w:szCs w:val="20"/>
              </w:rPr>
            </w:pPr>
            <w:r w:rsidRPr="00324820">
              <w:rPr>
                <w:rFonts w:cs="Arial"/>
                <w:sz w:val="20"/>
                <w:szCs w:val="20"/>
              </w:rPr>
              <w:t>35.</w:t>
            </w:r>
          </w:p>
        </w:tc>
        <w:tc>
          <w:tcPr>
            <w:tcW w:w="5596" w:type="dxa"/>
            <w:vAlign w:val="center"/>
            <w:hideMark/>
          </w:tcPr>
          <w:p w14:paraId="67C01037" w14:textId="77777777" w:rsidR="008713E7" w:rsidRPr="00324820" w:rsidRDefault="008713E7" w:rsidP="008713E7">
            <w:pPr>
              <w:rPr>
                <w:rFonts w:cs="Arial"/>
                <w:sz w:val="20"/>
                <w:szCs w:val="20"/>
              </w:rPr>
            </w:pPr>
            <w:r w:rsidRPr="00324820">
              <w:rPr>
                <w:rFonts w:cs="Arial"/>
                <w:sz w:val="20"/>
                <w:szCs w:val="20"/>
              </w:rPr>
              <w:t>Nezavisni</w:t>
            </w:r>
          </w:p>
        </w:tc>
        <w:tc>
          <w:tcPr>
            <w:tcW w:w="1842" w:type="dxa"/>
            <w:vAlign w:val="center"/>
            <w:hideMark/>
          </w:tcPr>
          <w:p w14:paraId="4E3AF169"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464C2468"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736BDFAD" w14:textId="77777777" w:rsidTr="001F3738">
        <w:trPr>
          <w:trHeight w:val="288"/>
          <w:jc w:val="center"/>
        </w:trPr>
        <w:tc>
          <w:tcPr>
            <w:tcW w:w="495" w:type="dxa"/>
            <w:vAlign w:val="center"/>
            <w:hideMark/>
          </w:tcPr>
          <w:p w14:paraId="72ADECA7" w14:textId="77777777" w:rsidR="008713E7" w:rsidRPr="00324820" w:rsidRDefault="008713E7" w:rsidP="008713E7">
            <w:pPr>
              <w:rPr>
                <w:rFonts w:cs="Arial"/>
                <w:sz w:val="20"/>
                <w:szCs w:val="20"/>
              </w:rPr>
            </w:pPr>
            <w:r w:rsidRPr="00324820">
              <w:rPr>
                <w:rFonts w:cs="Arial"/>
                <w:sz w:val="20"/>
                <w:szCs w:val="20"/>
              </w:rPr>
              <w:t>36.</w:t>
            </w:r>
          </w:p>
        </w:tc>
        <w:tc>
          <w:tcPr>
            <w:tcW w:w="5596" w:type="dxa"/>
            <w:vAlign w:val="center"/>
            <w:hideMark/>
          </w:tcPr>
          <w:p w14:paraId="155CBE61" w14:textId="77777777" w:rsidR="008713E7" w:rsidRPr="00324820" w:rsidRDefault="008713E7" w:rsidP="008713E7">
            <w:pPr>
              <w:rPr>
                <w:rFonts w:cs="Arial"/>
                <w:sz w:val="20"/>
                <w:szCs w:val="20"/>
              </w:rPr>
            </w:pPr>
            <w:r w:rsidRPr="00324820">
              <w:rPr>
                <w:rFonts w:cs="Arial"/>
                <w:sz w:val="20"/>
                <w:szCs w:val="20"/>
              </w:rPr>
              <w:t>Nova ljevica (NL)</w:t>
            </w:r>
          </w:p>
        </w:tc>
        <w:tc>
          <w:tcPr>
            <w:tcW w:w="1842" w:type="dxa"/>
            <w:vAlign w:val="center"/>
            <w:hideMark/>
          </w:tcPr>
          <w:p w14:paraId="22003E85"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7E6B3F64"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018B7360" w14:textId="77777777" w:rsidTr="001F3738">
        <w:trPr>
          <w:trHeight w:val="288"/>
          <w:jc w:val="center"/>
        </w:trPr>
        <w:tc>
          <w:tcPr>
            <w:tcW w:w="495" w:type="dxa"/>
            <w:vAlign w:val="center"/>
            <w:hideMark/>
          </w:tcPr>
          <w:p w14:paraId="0C70F5E6" w14:textId="77777777" w:rsidR="008713E7" w:rsidRPr="00324820" w:rsidRDefault="008713E7" w:rsidP="008713E7">
            <w:pPr>
              <w:rPr>
                <w:rFonts w:cs="Arial"/>
                <w:sz w:val="20"/>
                <w:szCs w:val="20"/>
              </w:rPr>
            </w:pPr>
            <w:r w:rsidRPr="00324820">
              <w:rPr>
                <w:rFonts w:cs="Arial"/>
                <w:sz w:val="20"/>
                <w:szCs w:val="20"/>
              </w:rPr>
              <w:t>37.</w:t>
            </w:r>
          </w:p>
        </w:tc>
        <w:tc>
          <w:tcPr>
            <w:tcW w:w="5596" w:type="dxa"/>
            <w:vAlign w:val="center"/>
            <w:hideMark/>
          </w:tcPr>
          <w:p w14:paraId="64962A61" w14:textId="77777777" w:rsidR="008713E7" w:rsidRPr="00324820" w:rsidRDefault="008713E7" w:rsidP="008713E7">
            <w:pPr>
              <w:rPr>
                <w:rFonts w:cs="Arial"/>
                <w:sz w:val="20"/>
                <w:szCs w:val="20"/>
              </w:rPr>
            </w:pPr>
            <w:r w:rsidRPr="00324820">
              <w:rPr>
                <w:rFonts w:cs="Arial"/>
                <w:sz w:val="20"/>
                <w:szCs w:val="20"/>
              </w:rPr>
              <w:t>Odlučnost i pravednost (OIP)</w:t>
            </w:r>
          </w:p>
        </w:tc>
        <w:tc>
          <w:tcPr>
            <w:tcW w:w="1842" w:type="dxa"/>
            <w:vAlign w:val="center"/>
            <w:hideMark/>
          </w:tcPr>
          <w:p w14:paraId="6FE4C36C"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3629ED90"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44EDE1F4" w14:textId="77777777" w:rsidTr="001F3738">
        <w:trPr>
          <w:trHeight w:val="288"/>
          <w:jc w:val="center"/>
        </w:trPr>
        <w:tc>
          <w:tcPr>
            <w:tcW w:w="495" w:type="dxa"/>
            <w:vAlign w:val="center"/>
            <w:hideMark/>
          </w:tcPr>
          <w:p w14:paraId="5DD5D6FB" w14:textId="77777777" w:rsidR="008713E7" w:rsidRPr="00324820" w:rsidRDefault="008713E7" w:rsidP="008713E7">
            <w:pPr>
              <w:rPr>
                <w:rFonts w:cs="Arial"/>
                <w:sz w:val="20"/>
                <w:szCs w:val="20"/>
              </w:rPr>
            </w:pPr>
            <w:r w:rsidRPr="00324820">
              <w:rPr>
                <w:rFonts w:cs="Arial"/>
                <w:sz w:val="20"/>
                <w:szCs w:val="20"/>
              </w:rPr>
              <w:t>38.</w:t>
            </w:r>
          </w:p>
        </w:tc>
        <w:tc>
          <w:tcPr>
            <w:tcW w:w="5596" w:type="dxa"/>
            <w:vAlign w:val="center"/>
            <w:hideMark/>
          </w:tcPr>
          <w:p w14:paraId="6FA5425C" w14:textId="77777777" w:rsidR="008713E7" w:rsidRPr="00324820" w:rsidRDefault="008713E7" w:rsidP="008713E7">
            <w:pPr>
              <w:rPr>
                <w:rFonts w:cs="Arial"/>
                <w:sz w:val="20"/>
                <w:szCs w:val="20"/>
              </w:rPr>
            </w:pPr>
            <w:r w:rsidRPr="00324820">
              <w:rPr>
                <w:rFonts w:cs="Arial"/>
                <w:sz w:val="20"/>
                <w:szCs w:val="20"/>
              </w:rPr>
              <w:t>Pravo i pravda</w:t>
            </w:r>
          </w:p>
        </w:tc>
        <w:tc>
          <w:tcPr>
            <w:tcW w:w="1842" w:type="dxa"/>
            <w:vAlign w:val="center"/>
            <w:hideMark/>
          </w:tcPr>
          <w:p w14:paraId="31EFAD4C"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52D80969"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575EC241" w14:textId="77777777" w:rsidTr="001F3738">
        <w:trPr>
          <w:trHeight w:val="288"/>
          <w:jc w:val="center"/>
        </w:trPr>
        <w:tc>
          <w:tcPr>
            <w:tcW w:w="495" w:type="dxa"/>
            <w:vAlign w:val="center"/>
            <w:hideMark/>
          </w:tcPr>
          <w:p w14:paraId="75021B30" w14:textId="77777777" w:rsidR="008713E7" w:rsidRPr="00324820" w:rsidRDefault="008713E7" w:rsidP="008713E7">
            <w:pPr>
              <w:rPr>
                <w:rFonts w:cs="Arial"/>
                <w:sz w:val="20"/>
                <w:szCs w:val="20"/>
              </w:rPr>
            </w:pPr>
            <w:r w:rsidRPr="00324820">
              <w:rPr>
                <w:rFonts w:cs="Arial"/>
                <w:sz w:val="20"/>
                <w:szCs w:val="20"/>
              </w:rPr>
              <w:t>39.</w:t>
            </w:r>
          </w:p>
        </w:tc>
        <w:tc>
          <w:tcPr>
            <w:tcW w:w="5596" w:type="dxa"/>
            <w:vAlign w:val="center"/>
            <w:hideMark/>
          </w:tcPr>
          <w:p w14:paraId="6CDA0090" w14:textId="77777777" w:rsidR="008713E7" w:rsidRPr="00324820" w:rsidRDefault="008713E7" w:rsidP="008713E7">
            <w:pPr>
              <w:rPr>
                <w:rFonts w:cs="Arial"/>
                <w:sz w:val="20"/>
                <w:szCs w:val="20"/>
              </w:rPr>
            </w:pPr>
            <w:r w:rsidRPr="00324820">
              <w:rPr>
                <w:rFonts w:cs="Arial"/>
                <w:sz w:val="20"/>
                <w:szCs w:val="20"/>
              </w:rPr>
              <w:t>Primorsko goranski savez (PGS)</w:t>
            </w:r>
          </w:p>
        </w:tc>
        <w:tc>
          <w:tcPr>
            <w:tcW w:w="1842" w:type="dxa"/>
            <w:vAlign w:val="center"/>
            <w:hideMark/>
          </w:tcPr>
          <w:p w14:paraId="02548589"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7F937790"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5B0DDD6B" w14:textId="77777777" w:rsidTr="001F3738">
        <w:trPr>
          <w:trHeight w:val="288"/>
          <w:jc w:val="center"/>
        </w:trPr>
        <w:tc>
          <w:tcPr>
            <w:tcW w:w="495" w:type="dxa"/>
            <w:vAlign w:val="center"/>
            <w:hideMark/>
          </w:tcPr>
          <w:p w14:paraId="694F1A97" w14:textId="77777777" w:rsidR="008713E7" w:rsidRPr="00324820" w:rsidRDefault="008713E7" w:rsidP="008713E7">
            <w:pPr>
              <w:rPr>
                <w:rFonts w:cs="Arial"/>
                <w:sz w:val="20"/>
                <w:szCs w:val="20"/>
              </w:rPr>
            </w:pPr>
            <w:r w:rsidRPr="00324820">
              <w:rPr>
                <w:rFonts w:cs="Arial"/>
                <w:sz w:val="20"/>
                <w:szCs w:val="20"/>
              </w:rPr>
              <w:t>40.</w:t>
            </w:r>
          </w:p>
        </w:tc>
        <w:tc>
          <w:tcPr>
            <w:tcW w:w="5596" w:type="dxa"/>
            <w:vAlign w:val="center"/>
            <w:hideMark/>
          </w:tcPr>
          <w:p w14:paraId="1ABC110A" w14:textId="77777777" w:rsidR="008713E7" w:rsidRPr="00324820" w:rsidRDefault="008713E7" w:rsidP="008713E7">
            <w:pPr>
              <w:rPr>
                <w:rFonts w:cs="Arial"/>
                <w:sz w:val="20"/>
                <w:szCs w:val="20"/>
              </w:rPr>
            </w:pPr>
            <w:r w:rsidRPr="00324820">
              <w:rPr>
                <w:rFonts w:cs="Arial"/>
                <w:sz w:val="20"/>
                <w:szCs w:val="20"/>
              </w:rPr>
              <w:t>Radnička fronta (RF)</w:t>
            </w:r>
          </w:p>
        </w:tc>
        <w:tc>
          <w:tcPr>
            <w:tcW w:w="1842" w:type="dxa"/>
            <w:vAlign w:val="center"/>
            <w:hideMark/>
          </w:tcPr>
          <w:p w14:paraId="3BE65B9D"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0F556B9B"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4DD22C64" w14:textId="77777777" w:rsidTr="001F3738">
        <w:trPr>
          <w:trHeight w:val="288"/>
          <w:jc w:val="center"/>
        </w:trPr>
        <w:tc>
          <w:tcPr>
            <w:tcW w:w="495" w:type="dxa"/>
            <w:vAlign w:val="center"/>
            <w:hideMark/>
          </w:tcPr>
          <w:p w14:paraId="3DF42FFB" w14:textId="77777777" w:rsidR="008713E7" w:rsidRPr="00324820" w:rsidRDefault="008713E7" w:rsidP="008713E7">
            <w:pPr>
              <w:rPr>
                <w:rFonts w:cs="Arial"/>
                <w:sz w:val="20"/>
                <w:szCs w:val="20"/>
              </w:rPr>
            </w:pPr>
            <w:r w:rsidRPr="00324820">
              <w:rPr>
                <w:rFonts w:cs="Arial"/>
                <w:sz w:val="20"/>
                <w:szCs w:val="20"/>
              </w:rPr>
              <w:lastRenderedPageBreak/>
              <w:t>41.</w:t>
            </w:r>
          </w:p>
        </w:tc>
        <w:tc>
          <w:tcPr>
            <w:tcW w:w="5596" w:type="dxa"/>
            <w:vAlign w:val="center"/>
            <w:hideMark/>
          </w:tcPr>
          <w:p w14:paraId="5BE18F6B" w14:textId="77777777" w:rsidR="008713E7" w:rsidRPr="00324820" w:rsidRDefault="008713E7" w:rsidP="008713E7">
            <w:pPr>
              <w:rPr>
                <w:rFonts w:cs="Arial"/>
                <w:sz w:val="20"/>
                <w:szCs w:val="20"/>
              </w:rPr>
            </w:pPr>
            <w:r w:rsidRPr="00324820">
              <w:rPr>
                <w:rFonts w:cs="Arial"/>
                <w:sz w:val="20"/>
                <w:szCs w:val="20"/>
              </w:rPr>
              <w:t>Republika</w:t>
            </w:r>
          </w:p>
        </w:tc>
        <w:tc>
          <w:tcPr>
            <w:tcW w:w="1842" w:type="dxa"/>
            <w:vAlign w:val="center"/>
            <w:hideMark/>
          </w:tcPr>
          <w:p w14:paraId="7747D089"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191821B7"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5BF4868C" w14:textId="77777777" w:rsidTr="001F3738">
        <w:trPr>
          <w:trHeight w:val="288"/>
          <w:jc w:val="center"/>
        </w:trPr>
        <w:tc>
          <w:tcPr>
            <w:tcW w:w="495" w:type="dxa"/>
            <w:vAlign w:val="center"/>
            <w:hideMark/>
          </w:tcPr>
          <w:p w14:paraId="12FDDA0A" w14:textId="77777777" w:rsidR="008713E7" w:rsidRPr="00324820" w:rsidRDefault="008713E7" w:rsidP="008713E7">
            <w:pPr>
              <w:rPr>
                <w:rFonts w:cs="Arial"/>
                <w:sz w:val="20"/>
                <w:szCs w:val="20"/>
              </w:rPr>
            </w:pPr>
            <w:r w:rsidRPr="00324820">
              <w:rPr>
                <w:rFonts w:cs="Arial"/>
                <w:sz w:val="20"/>
                <w:szCs w:val="20"/>
              </w:rPr>
              <w:t>42.</w:t>
            </w:r>
          </w:p>
        </w:tc>
        <w:tc>
          <w:tcPr>
            <w:tcW w:w="5596" w:type="dxa"/>
            <w:vAlign w:val="center"/>
            <w:hideMark/>
          </w:tcPr>
          <w:p w14:paraId="2FA25FB7" w14:textId="77777777" w:rsidR="008713E7" w:rsidRPr="00324820" w:rsidRDefault="008713E7" w:rsidP="008713E7">
            <w:pPr>
              <w:rPr>
                <w:rFonts w:cs="Arial"/>
                <w:sz w:val="20"/>
                <w:szCs w:val="20"/>
              </w:rPr>
            </w:pPr>
            <w:r w:rsidRPr="00324820">
              <w:rPr>
                <w:rFonts w:cs="Arial"/>
                <w:sz w:val="20"/>
                <w:szCs w:val="20"/>
              </w:rPr>
              <w:t>Samostalna demokratska srpska stranka (SDSS)</w:t>
            </w:r>
          </w:p>
        </w:tc>
        <w:tc>
          <w:tcPr>
            <w:tcW w:w="1842" w:type="dxa"/>
            <w:vAlign w:val="center"/>
            <w:hideMark/>
          </w:tcPr>
          <w:p w14:paraId="033EBE29"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1911D3BC"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0BF99FE0" w14:textId="77777777" w:rsidTr="001F3738">
        <w:trPr>
          <w:trHeight w:val="288"/>
          <w:jc w:val="center"/>
        </w:trPr>
        <w:tc>
          <w:tcPr>
            <w:tcW w:w="495" w:type="dxa"/>
            <w:vAlign w:val="center"/>
            <w:hideMark/>
          </w:tcPr>
          <w:p w14:paraId="4EDAA2FE" w14:textId="77777777" w:rsidR="008713E7" w:rsidRPr="00324820" w:rsidRDefault="008713E7" w:rsidP="008713E7">
            <w:pPr>
              <w:rPr>
                <w:rFonts w:cs="Arial"/>
                <w:sz w:val="20"/>
                <w:szCs w:val="20"/>
              </w:rPr>
            </w:pPr>
            <w:r w:rsidRPr="00324820">
              <w:rPr>
                <w:rFonts w:cs="Arial"/>
                <w:sz w:val="20"/>
                <w:szCs w:val="20"/>
              </w:rPr>
              <w:t>43.</w:t>
            </w:r>
          </w:p>
        </w:tc>
        <w:tc>
          <w:tcPr>
            <w:tcW w:w="5596" w:type="dxa"/>
            <w:vAlign w:val="center"/>
            <w:hideMark/>
          </w:tcPr>
          <w:p w14:paraId="34ABC6F6" w14:textId="77777777" w:rsidR="008713E7" w:rsidRPr="00324820" w:rsidRDefault="008713E7" w:rsidP="008713E7">
            <w:pPr>
              <w:rPr>
                <w:rFonts w:cs="Arial"/>
                <w:sz w:val="20"/>
                <w:szCs w:val="20"/>
              </w:rPr>
            </w:pPr>
            <w:r w:rsidRPr="00324820">
              <w:rPr>
                <w:rFonts w:cs="Arial"/>
                <w:sz w:val="20"/>
                <w:szCs w:val="20"/>
              </w:rPr>
              <w:t>Socijaldemokrati</w:t>
            </w:r>
          </w:p>
        </w:tc>
        <w:tc>
          <w:tcPr>
            <w:tcW w:w="1842" w:type="dxa"/>
            <w:vAlign w:val="center"/>
            <w:hideMark/>
          </w:tcPr>
          <w:p w14:paraId="3CFC994B"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4191A87D"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4DDB2747" w14:textId="77777777" w:rsidTr="001F3738">
        <w:trPr>
          <w:trHeight w:val="288"/>
          <w:jc w:val="center"/>
        </w:trPr>
        <w:tc>
          <w:tcPr>
            <w:tcW w:w="495" w:type="dxa"/>
            <w:vAlign w:val="center"/>
            <w:hideMark/>
          </w:tcPr>
          <w:p w14:paraId="02770D66" w14:textId="77777777" w:rsidR="008713E7" w:rsidRPr="00324820" w:rsidRDefault="008713E7" w:rsidP="008713E7">
            <w:pPr>
              <w:rPr>
                <w:rFonts w:cs="Arial"/>
                <w:sz w:val="20"/>
                <w:szCs w:val="20"/>
              </w:rPr>
            </w:pPr>
            <w:r w:rsidRPr="00324820">
              <w:rPr>
                <w:rFonts w:cs="Arial"/>
                <w:sz w:val="20"/>
                <w:szCs w:val="20"/>
              </w:rPr>
              <w:t>44.</w:t>
            </w:r>
          </w:p>
        </w:tc>
        <w:tc>
          <w:tcPr>
            <w:tcW w:w="5596" w:type="dxa"/>
            <w:vAlign w:val="center"/>
            <w:hideMark/>
          </w:tcPr>
          <w:p w14:paraId="2C49BE4C" w14:textId="77777777" w:rsidR="008713E7" w:rsidRPr="00324820" w:rsidRDefault="008713E7" w:rsidP="008713E7">
            <w:pPr>
              <w:rPr>
                <w:rFonts w:cs="Arial"/>
                <w:sz w:val="20"/>
                <w:szCs w:val="20"/>
              </w:rPr>
            </w:pPr>
            <w:r w:rsidRPr="00324820">
              <w:rPr>
                <w:rFonts w:cs="Arial"/>
                <w:sz w:val="20"/>
                <w:szCs w:val="20"/>
              </w:rPr>
              <w:t>Socijaldemokratska partija Hrvatske (SDP)</w:t>
            </w:r>
          </w:p>
        </w:tc>
        <w:tc>
          <w:tcPr>
            <w:tcW w:w="1842" w:type="dxa"/>
            <w:vAlign w:val="center"/>
            <w:hideMark/>
          </w:tcPr>
          <w:p w14:paraId="241644F4"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055FF8DF"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26BFD860" w14:textId="77777777" w:rsidTr="001F3738">
        <w:trPr>
          <w:trHeight w:val="288"/>
          <w:jc w:val="center"/>
        </w:trPr>
        <w:tc>
          <w:tcPr>
            <w:tcW w:w="495" w:type="dxa"/>
            <w:vAlign w:val="center"/>
            <w:hideMark/>
          </w:tcPr>
          <w:p w14:paraId="6B7EA555" w14:textId="77777777" w:rsidR="008713E7" w:rsidRPr="00324820" w:rsidRDefault="008713E7" w:rsidP="008713E7">
            <w:pPr>
              <w:rPr>
                <w:rFonts w:cs="Arial"/>
                <w:sz w:val="20"/>
                <w:szCs w:val="20"/>
              </w:rPr>
            </w:pPr>
            <w:r w:rsidRPr="00324820">
              <w:rPr>
                <w:rFonts w:cs="Arial"/>
                <w:sz w:val="20"/>
                <w:szCs w:val="20"/>
              </w:rPr>
              <w:t>45.</w:t>
            </w:r>
          </w:p>
        </w:tc>
        <w:tc>
          <w:tcPr>
            <w:tcW w:w="5596" w:type="dxa"/>
            <w:vAlign w:val="center"/>
            <w:hideMark/>
          </w:tcPr>
          <w:p w14:paraId="7499A636" w14:textId="77777777" w:rsidR="008713E7" w:rsidRPr="00324820" w:rsidRDefault="008713E7" w:rsidP="008713E7">
            <w:pPr>
              <w:rPr>
                <w:rFonts w:cs="Arial"/>
                <w:sz w:val="20"/>
                <w:szCs w:val="20"/>
              </w:rPr>
            </w:pPr>
            <w:r w:rsidRPr="00324820">
              <w:rPr>
                <w:rFonts w:cs="Arial"/>
                <w:sz w:val="20"/>
                <w:szCs w:val="20"/>
              </w:rPr>
              <w:t>Srđ je Grad (SJG)</w:t>
            </w:r>
          </w:p>
        </w:tc>
        <w:tc>
          <w:tcPr>
            <w:tcW w:w="1842" w:type="dxa"/>
            <w:vAlign w:val="center"/>
            <w:hideMark/>
          </w:tcPr>
          <w:p w14:paraId="458A5B08"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67D30DA8"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10F9D0DD" w14:textId="77777777" w:rsidTr="001F3738">
        <w:trPr>
          <w:trHeight w:val="288"/>
          <w:jc w:val="center"/>
        </w:trPr>
        <w:tc>
          <w:tcPr>
            <w:tcW w:w="495" w:type="dxa"/>
            <w:vAlign w:val="center"/>
            <w:hideMark/>
          </w:tcPr>
          <w:p w14:paraId="28DC9565" w14:textId="77777777" w:rsidR="008713E7" w:rsidRPr="00324820" w:rsidRDefault="008713E7" w:rsidP="008713E7">
            <w:pPr>
              <w:rPr>
                <w:rFonts w:cs="Arial"/>
                <w:sz w:val="20"/>
                <w:szCs w:val="20"/>
              </w:rPr>
            </w:pPr>
            <w:r w:rsidRPr="00324820">
              <w:rPr>
                <w:rFonts w:cs="Arial"/>
                <w:sz w:val="20"/>
                <w:szCs w:val="20"/>
              </w:rPr>
              <w:t>46.</w:t>
            </w:r>
          </w:p>
        </w:tc>
        <w:tc>
          <w:tcPr>
            <w:tcW w:w="5596" w:type="dxa"/>
            <w:vAlign w:val="center"/>
            <w:hideMark/>
          </w:tcPr>
          <w:p w14:paraId="315C1836" w14:textId="77777777" w:rsidR="008713E7" w:rsidRPr="00324820" w:rsidRDefault="008713E7" w:rsidP="008713E7">
            <w:pPr>
              <w:rPr>
                <w:rFonts w:cs="Arial"/>
                <w:sz w:val="20"/>
                <w:szCs w:val="20"/>
              </w:rPr>
            </w:pPr>
            <w:r w:rsidRPr="00324820">
              <w:rPr>
                <w:rFonts w:cs="Arial"/>
                <w:sz w:val="20"/>
                <w:szCs w:val="20"/>
              </w:rPr>
              <w:t>Stjepan Kožić – nezavisna lista (SKNL)</w:t>
            </w:r>
          </w:p>
        </w:tc>
        <w:tc>
          <w:tcPr>
            <w:tcW w:w="1842" w:type="dxa"/>
            <w:vAlign w:val="center"/>
            <w:hideMark/>
          </w:tcPr>
          <w:p w14:paraId="3519A543"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33E5C66B"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2C685B50" w14:textId="77777777" w:rsidTr="001F3738">
        <w:trPr>
          <w:trHeight w:val="288"/>
          <w:jc w:val="center"/>
        </w:trPr>
        <w:tc>
          <w:tcPr>
            <w:tcW w:w="495" w:type="dxa"/>
            <w:vAlign w:val="center"/>
            <w:hideMark/>
          </w:tcPr>
          <w:p w14:paraId="5ACE6787" w14:textId="77777777" w:rsidR="008713E7" w:rsidRPr="00324820" w:rsidRDefault="008713E7" w:rsidP="008713E7">
            <w:pPr>
              <w:rPr>
                <w:rFonts w:cs="Arial"/>
                <w:sz w:val="20"/>
                <w:szCs w:val="20"/>
              </w:rPr>
            </w:pPr>
            <w:r w:rsidRPr="00324820">
              <w:rPr>
                <w:rFonts w:cs="Arial"/>
                <w:sz w:val="20"/>
                <w:szCs w:val="20"/>
              </w:rPr>
              <w:t>47.</w:t>
            </w:r>
          </w:p>
        </w:tc>
        <w:tc>
          <w:tcPr>
            <w:tcW w:w="5596" w:type="dxa"/>
            <w:vAlign w:val="center"/>
            <w:hideMark/>
          </w:tcPr>
          <w:p w14:paraId="3B669D8E" w14:textId="77777777" w:rsidR="008713E7" w:rsidRPr="00324820" w:rsidRDefault="008713E7" w:rsidP="008713E7">
            <w:pPr>
              <w:rPr>
                <w:rFonts w:cs="Arial"/>
                <w:sz w:val="20"/>
                <w:szCs w:val="20"/>
              </w:rPr>
            </w:pPr>
            <w:r w:rsidRPr="00324820">
              <w:rPr>
                <w:rFonts w:cs="Arial"/>
                <w:sz w:val="20"/>
                <w:szCs w:val="20"/>
              </w:rPr>
              <w:t>Stranka demokratske akcije Hrvatske (SDA Hrvatske)</w:t>
            </w:r>
          </w:p>
        </w:tc>
        <w:tc>
          <w:tcPr>
            <w:tcW w:w="1842" w:type="dxa"/>
            <w:vAlign w:val="center"/>
            <w:hideMark/>
          </w:tcPr>
          <w:p w14:paraId="6AB71F8F"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0E429C06"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48B0395E" w14:textId="77777777" w:rsidTr="001F3738">
        <w:trPr>
          <w:trHeight w:val="288"/>
          <w:jc w:val="center"/>
        </w:trPr>
        <w:tc>
          <w:tcPr>
            <w:tcW w:w="495" w:type="dxa"/>
            <w:vAlign w:val="center"/>
            <w:hideMark/>
          </w:tcPr>
          <w:p w14:paraId="3A83CA54" w14:textId="77777777" w:rsidR="008713E7" w:rsidRPr="00324820" w:rsidRDefault="008713E7" w:rsidP="008713E7">
            <w:pPr>
              <w:rPr>
                <w:rFonts w:cs="Arial"/>
                <w:sz w:val="20"/>
                <w:szCs w:val="20"/>
              </w:rPr>
            </w:pPr>
            <w:r w:rsidRPr="00324820">
              <w:rPr>
                <w:rFonts w:cs="Arial"/>
                <w:sz w:val="20"/>
                <w:szCs w:val="20"/>
              </w:rPr>
              <w:t>48.</w:t>
            </w:r>
          </w:p>
        </w:tc>
        <w:tc>
          <w:tcPr>
            <w:tcW w:w="5596" w:type="dxa"/>
            <w:vAlign w:val="center"/>
            <w:hideMark/>
          </w:tcPr>
          <w:p w14:paraId="6CF5D02E" w14:textId="77777777" w:rsidR="008713E7" w:rsidRPr="00324820" w:rsidRDefault="008713E7" w:rsidP="008713E7">
            <w:pPr>
              <w:rPr>
                <w:rFonts w:cs="Arial"/>
                <w:sz w:val="20"/>
                <w:szCs w:val="20"/>
              </w:rPr>
            </w:pPr>
            <w:r w:rsidRPr="00324820">
              <w:rPr>
                <w:rFonts w:cs="Arial"/>
                <w:sz w:val="20"/>
                <w:szCs w:val="20"/>
              </w:rPr>
              <w:t>Unija Kvarnera (UNIJA)</w:t>
            </w:r>
          </w:p>
        </w:tc>
        <w:tc>
          <w:tcPr>
            <w:tcW w:w="1842" w:type="dxa"/>
            <w:vAlign w:val="center"/>
            <w:hideMark/>
          </w:tcPr>
          <w:p w14:paraId="2D40627B"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1A0EE692"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3D528FAC" w14:textId="77777777" w:rsidTr="001F3738">
        <w:trPr>
          <w:trHeight w:val="288"/>
          <w:jc w:val="center"/>
        </w:trPr>
        <w:tc>
          <w:tcPr>
            <w:tcW w:w="495" w:type="dxa"/>
            <w:vAlign w:val="center"/>
            <w:hideMark/>
          </w:tcPr>
          <w:p w14:paraId="2B95AC2F" w14:textId="77777777" w:rsidR="008713E7" w:rsidRPr="00324820" w:rsidRDefault="008713E7" w:rsidP="008713E7">
            <w:pPr>
              <w:rPr>
                <w:rFonts w:cs="Arial"/>
                <w:sz w:val="20"/>
                <w:szCs w:val="20"/>
              </w:rPr>
            </w:pPr>
            <w:r w:rsidRPr="00324820">
              <w:rPr>
                <w:rFonts w:cs="Arial"/>
                <w:sz w:val="20"/>
                <w:szCs w:val="20"/>
              </w:rPr>
              <w:t>49.</w:t>
            </w:r>
          </w:p>
        </w:tc>
        <w:tc>
          <w:tcPr>
            <w:tcW w:w="5596" w:type="dxa"/>
            <w:vAlign w:val="center"/>
            <w:hideMark/>
          </w:tcPr>
          <w:p w14:paraId="27FB432B" w14:textId="77777777" w:rsidR="008713E7" w:rsidRPr="00324820" w:rsidRDefault="008713E7" w:rsidP="008713E7">
            <w:pPr>
              <w:rPr>
                <w:rFonts w:cs="Arial"/>
                <w:sz w:val="20"/>
                <w:szCs w:val="20"/>
              </w:rPr>
            </w:pPr>
            <w:r w:rsidRPr="00324820">
              <w:rPr>
                <w:rFonts w:cs="Arial"/>
                <w:sz w:val="20"/>
                <w:szCs w:val="20"/>
              </w:rPr>
              <w:t>Zagreb je NAŠ!</w:t>
            </w:r>
          </w:p>
        </w:tc>
        <w:tc>
          <w:tcPr>
            <w:tcW w:w="1842" w:type="dxa"/>
            <w:vAlign w:val="center"/>
            <w:hideMark/>
          </w:tcPr>
          <w:p w14:paraId="6D4C9605"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2E243002"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6C31C9D9" w14:textId="77777777" w:rsidTr="001F3738">
        <w:trPr>
          <w:trHeight w:val="288"/>
          <w:jc w:val="center"/>
        </w:trPr>
        <w:tc>
          <w:tcPr>
            <w:tcW w:w="495" w:type="dxa"/>
            <w:vAlign w:val="center"/>
            <w:hideMark/>
          </w:tcPr>
          <w:p w14:paraId="235E963F" w14:textId="77777777" w:rsidR="008713E7" w:rsidRPr="00324820" w:rsidRDefault="008713E7" w:rsidP="008713E7">
            <w:pPr>
              <w:rPr>
                <w:rFonts w:cs="Arial"/>
                <w:sz w:val="20"/>
                <w:szCs w:val="20"/>
              </w:rPr>
            </w:pPr>
            <w:r w:rsidRPr="00324820">
              <w:rPr>
                <w:rFonts w:cs="Arial"/>
                <w:sz w:val="20"/>
                <w:szCs w:val="20"/>
              </w:rPr>
              <w:t>50.</w:t>
            </w:r>
          </w:p>
        </w:tc>
        <w:tc>
          <w:tcPr>
            <w:tcW w:w="5596" w:type="dxa"/>
            <w:vAlign w:val="center"/>
            <w:hideMark/>
          </w:tcPr>
          <w:p w14:paraId="7EB6C3C7" w14:textId="77777777" w:rsidR="008713E7" w:rsidRPr="00324820" w:rsidRDefault="008713E7" w:rsidP="008713E7">
            <w:pPr>
              <w:rPr>
                <w:rFonts w:cs="Arial"/>
                <w:sz w:val="20"/>
                <w:szCs w:val="20"/>
              </w:rPr>
            </w:pPr>
            <w:r w:rsidRPr="00324820">
              <w:rPr>
                <w:rFonts w:cs="Arial"/>
                <w:sz w:val="20"/>
                <w:szCs w:val="20"/>
              </w:rPr>
              <w:t>Zelena alternativa – održivi razvoj Hrvatske (Zelena alternativa – ORaH)</w:t>
            </w:r>
          </w:p>
        </w:tc>
        <w:tc>
          <w:tcPr>
            <w:tcW w:w="1842" w:type="dxa"/>
            <w:vAlign w:val="center"/>
            <w:hideMark/>
          </w:tcPr>
          <w:p w14:paraId="4481A1C7"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3C282C21"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625F02F2" w14:textId="77777777" w:rsidTr="001F3738">
        <w:trPr>
          <w:trHeight w:val="288"/>
          <w:jc w:val="center"/>
        </w:trPr>
        <w:tc>
          <w:tcPr>
            <w:tcW w:w="495" w:type="dxa"/>
            <w:vAlign w:val="center"/>
            <w:hideMark/>
          </w:tcPr>
          <w:p w14:paraId="4D197E32" w14:textId="77777777" w:rsidR="008713E7" w:rsidRPr="00324820" w:rsidRDefault="008713E7" w:rsidP="008713E7">
            <w:pPr>
              <w:rPr>
                <w:rFonts w:cs="Arial"/>
                <w:sz w:val="20"/>
                <w:szCs w:val="20"/>
              </w:rPr>
            </w:pPr>
            <w:r w:rsidRPr="00324820">
              <w:rPr>
                <w:rFonts w:cs="Arial"/>
                <w:sz w:val="20"/>
                <w:szCs w:val="20"/>
              </w:rPr>
              <w:t>51.</w:t>
            </w:r>
          </w:p>
        </w:tc>
        <w:tc>
          <w:tcPr>
            <w:tcW w:w="5596" w:type="dxa"/>
            <w:vAlign w:val="center"/>
            <w:hideMark/>
          </w:tcPr>
          <w:p w14:paraId="660B2173" w14:textId="77777777" w:rsidR="008713E7" w:rsidRPr="00324820" w:rsidRDefault="008713E7" w:rsidP="008713E7">
            <w:pPr>
              <w:rPr>
                <w:rFonts w:cs="Arial"/>
                <w:sz w:val="20"/>
                <w:szCs w:val="20"/>
              </w:rPr>
            </w:pPr>
            <w:r w:rsidRPr="00324820">
              <w:rPr>
                <w:rFonts w:cs="Arial"/>
                <w:sz w:val="20"/>
                <w:szCs w:val="20"/>
              </w:rPr>
              <w:t xml:space="preserve">Željko Kerum – Hrvatska građanska stranka (HGS) </w:t>
            </w:r>
          </w:p>
        </w:tc>
        <w:tc>
          <w:tcPr>
            <w:tcW w:w="1842" w:type="dxa"/>
            <w:vAlign w:val="center"/>
            <w:hideMark/>
          </w:tcPr>
          <w:p w14:paraId="540F1816"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621BDFA1"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27BD7DA1" w14:textId="77777777" w:rsidTr="001F3738">
        <w:trPr>
          <w:trHeight w:val="288"/>
          <w:jc w:val="center"/>
        </w:trPr>
        <w:tc>
          <w:tcPr>
            <w:tcW w:w="9776" w:type="dxa"/>
            <w:gridSpan w:val="4"/>
            <w:shd w:val="clear" w:color="auto" w:fill="D9D9D9" w:themeFill="background1" w:themeFillShade="D9"/>
            <w:vAlign w:val="center"/>
            <w:hideMark/>
          </w:tcPr>
          <w:p w14:paraId="7200E77C" w14:textId="77777777" w:rsidR="008713E7" w:rsidRPr="00820BCA" w:rsidRDefault="008713E7" w:rsidP="008713E7">
            <w:pPr>
              <w:rPr>
                <w:rFonts w:cs="Arial"/>
                <w:b/>
                <w:sz w:val="20"/>
                <w:szCs w:val="20"/>
              </w:rPr>
            </w:pPr>
            <w:r>
              <w:rPr>
                <w:rFonts w:cs="Arial"/>
                <w:b/>
                <w:sz w:val="20"/>
                <w:szCs w:val="20"/>
              </w:rPr>
              <w:t xml:space="preserve">         </w:t>
            </w:r>
            <w:r w:rsidRPr="00820BCA">
              <w:rPr>
                <w:rFonts w:cs="Arial"/>
                <w:b/>
                <w:sz w:val="20"/>
                <w:szCs w:val="20"/>
              </w:rPr>
              <w:t>Nezavisni zastupnici</w:t>
            </w:r>
          </w:p>
        </w:tc>
      </w:tr>
      <w:tr w:rsidR="008713E7" w:rsidRPr="00324820" w14:paraId="577F8A87" w14:textId="77777777" w:rsidTr="001F3738">
        <w:trPr>
          <w:trHeight w:val="288"/>
          <w:jc w:val="center"/>
        </w:trPr>
        <w:tc>
          <w:tcPr>
            <w:tcW w:w="495" w:type="dxa"/>
            <w:vAlign w:val="center"/>
            <w:hideMark/>
          </w:tcPr>
          <w:p w14:paraId="2B894D73" w14:textId="77777777" w:rsidR="008713E7" w:rsidRPr="00324820" w:rsidRDefault="008713E7" w:rsidP="008713E7">
            <w:pPr>
              <w:rPr>
                <w:rFonts w:cs="Arial"/>
                <w:sz w:val="20"/>
                <w:szCs w:val="20"/>
              </w:rPr>
            </w:pPr>
            <w:r w:rsidRPr="00324820">
              <w:rPr>
                <w:rFonts w:cs="Arial"/>
                <w:sz w:val="20"/>
                <w:szCs w:val="20"/>
              </w:rPr>
              <w:t>1.</w:t>
            </w:r>
          </w:p>
        </w:tc>
        <w:tc>
          <w:tcPr>
            <w:tcW w:w="5596" w:type="dxa"/>
            <w:vAlign w:val="center"/>
            <w:hideMark/>
          </w:tcPr>
          <w:p w14:paraId="4D6D04F3" w14:textId="77777777" w:rsidR="008713E7" w:rsidRPr="00324820" w:rsidRDefault="008713E7" w:rsidP="008713E7">
            <w:pPr>
              <w:rPr>
                <w:rFonts w:cs="Arial"/>
                <w:sz w:val="20"/>
                <w:szCs w:val="20"/>
              </w:rPr>
            </w:pPr>
            <w:r w:rsidRPr="00324820">
              <w:rPr>
                <w:rFonts w:cs="Arial"/>
                <w:sz w:val="20"/>
                <w:szCs w:val="20"/>
              </w:rPr>
              <w:t xml:space="preserve">Vladimir Bilek, nezavisni zastupnik češke i slovačke nacionalne manjine </w:t>
            </w:r>
          </w:p>
        </w:tc>
        <w:tc>
          <w:tcPr>
            <w:tcW w:w="1842" w:type="dxa"/>
            <w:vAlign w:val="center"/>
            <w:hideMark/>
          </w:tcPr>
          <w:p w14:paraId="6A63C5C0"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10A65109"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141479E0" w14:textId="77777777" w:rsidTr="001F3738">
        <w:trPr>
          <w:trHeight w:val="576"/>
          <w:jc w:val="center"/>
        </w:trPr>
        <w:tc>
          <w:tcPr>
            <w:tcW w:w="495" w:type="dxa"/>
            <w:vAlign w:val="center"/>
            <w:hideMark/>
          </w:tcPr>
          <w:p w14:paraId="52F24917" w14:textId="77777777" w:rsidR="008713E7" w:rsidRPr="00324820" w:rsidRDefault="008713E7" w:rsidP="008713E7">
            <w:pPr>
              <w:rPr>
                <w:rFonts w:cs="Arial"/>
                <w:sz w:val="20"/>
                <w:szCs w:val="20"/>
              </w:rPr>
            </w:pPr>
            <w:r w:rsidRPr="00324820">
              <w:rPr>
                <w:rFonts w:cs="Arial"/>
                <w:sz w:val="20"/>
                <w:szCs w:val="20"/>
              </w:rPr>
              <w:t>2.</w:t>
            </w:r>
          </w:p>
        </w:tc>
        <w:tc>
          <w:tcPr>
            <w:tcW w:w="5596" w:type="dxa"/>
            <w:vAlign w:val="center"/>
            <w:hideMark/>
          </w:tcPr>
          <w:p w14:paraId="33EACE59" w14:textId="77777777" w:rsidR="008713E7" w:rsidRPr="00324820" w:rsidRDefault="008713E7" w:rsidP="008713E7">
            <w:pPr>
              <w:rPr>
                <w:rFonts w:cs="Arial"/>
                <w:sz w:val="20"/>
                <w:szCs w:val="20"/>
              </w:rPr>
            </w:pPr>
            <w:r w:rsidRPr="00324820">
              <w:rPr>
                <w:rFonts w:cs="Arial"/>
                <w:sz w:val="20"/>
                <w:szCs w:val="20"/>
              </w:rPr>
              <w:t>Armin Hodžić, nezavisni zastupnik albanske, bošnjačke, crnogorske, makedonske i slovenske nacionalne manjine od 16. 5. 2024.</w:t>
            </w:r>
          </w:p>
        </w:tc>
        <w:tc>
          <w:tcPr>
            <w:tcW w:w="1842" w:type="dxa"/>
            <w:vAlign w:val="center"/>
            <w:hideMark/>
          </w:tcPr>
          <w:p w14:paraId="51FB01C0"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257EFF4A"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5FD27F8E" w14:textId="77777777" w:rsidTr="001F3738">
        <w:trPr>
          <w:trHeight w:val="288"/>
          <w:jc w:val="center"/>
        </w:trPr>
        <w:tc>
          <w:tcPr>
            <w:tcW w:w="495" w:type="dxa"/>
            <w:vAlign w:val="center"/>
            <w:hideMark/>
          </w:tcPr>
          <w:p w14:paraId="70943E7E" w14:textId="77777777" w:rsidR="008713E7" w:rsidRPr="00324820" w:rsidRDefault="008713E7" w:rsidP="008713E7">
            <w:pPr>
              <w:rPr>
                <w:rFonts w:cs="Arial"/>
                <w:sz w:val="20"/>
                <w:szCs w:val="20"/>
              </w:rPr>
            </w:pPr>
            <w:r w:rsidRPr="00324820">
              <w:rPr>
                <w:rFonts w:cs="Arial"/>
                <w:sz w:val="20"/>
                <w:szCs w:val="20"/>
              </w:rPr>
              <w:t>3.</w:t>
            </w:r>
          </w:p>
        </w:tc>
        <w:tc>
          <w:tcPr>
            <w:tcW w:w="5596" w:type="dxa"/>
            <w:vAlign w:val="center"/>
            <w:hideMark/>
          </w:tcPr>
          <w:p w14:paraId="022E69DA" w14:textId="77777777" w:rsidR="008713E7" w:rsidRPr="00324820" w:rsidRDefault="008713E7" w:rsidP="008713E7">
            <w:pPr>
              <w:rPr>
                <w:rFonts w:cs="Arial"/>
                <w:sz w:val="20"/>
                <w:szCs w:val="20"/>
              </w:rPr>
            </w:pPr>
            <w:r w:rsidRPr="00324820">
              <w:rPr>
                <w:rFonts w:cs="Arial"/>
                <w:sz w:val="20"/>
                <w:szCs w:val="20"/>
              </w:rPr>
              <w:t xml:space="preserve">Robert Jankovics, nezavisni zastupnik mađarske nacionalne manjine </w:t>
            </w:r>
          </w:p>
        </w:tc>
        <w:tc>
          <w:tcPr>
            <w:tcW w:w="1842" w:type="dxa"/>
            <w:vAlign w:val="center"/>
            <w:hideMark/>
          </w:tcPr>
          <w:p w14:paraId="499F9042"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096E196F"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1496A5BF" w14:textId="77777777" w:rsidTr="001F3738">
        <w:trPr>
          <w:trHeight w:val="864"/>
          <w:jc w:val="center"/>
        </w:trPr>
        <w:tc>
          <w:tcPr>
            <w:tcW w:w="495" w:type="dxa"/>
            <w:vAlign w:val="center"/>
            <w:hideMark/>
          </w:tcPr>
          <w:p w14:paraId="29744853" w14:textId="77777777" w:rsidR="008713E7" w:rsidRPr="00324820" w:rsidRDefault="008713E7" w:rsidP="008713E7">
            <w:pPr>
              <w:rPr>
                <w:rFonts w:cs="Arial"/>
                <w:sz w:val="20"/>
                <w:szCs w:val="20"/>
              </w:rPr>
            </w:pPr>
            <w:r w:rsidRPr="00324820">
              <w:rPr>
                <w:rFonts w:cs="Arial"/>
                <w:sz w:val="20"/>
                <w:szCs w:val="20"/>
              </w:rPr>
              <w:t>4.</w:t>
            </w:r>
          </w:p>
        </w:tc>
        <w:tc>
          <w:tcPr>
            <w:tcW w:w="5596" w:type="dxa"/>
            <w:vAlign w:val="center"/>
            <w:hideMark/>
          </w:tcPr>
          <w:p w14:paraId="6D07548B" w14:textId="77777777" w:rsidR="008713E7" w:rsidRPr="00324820" w:rsidRDefault="008713E7" w:rsidP="008713E7">
            <w:pPr>
              <w:rPr>
                <w:rFonts w:cs="Arial"/>
                <w:sz w:val="20"/>
                <w:szCs w:val="20"/>
              </w:rPr>
            </w:pPr>
            <w:r w:rsidRPr="00324820">
              <w:rPr>
                <w:rFonts w:cs="Arial"/>
                <w:sz w:val="20"/>
                <w:szCs w:val="20"/>
              </w:rPr>
              <w:t xml:space="preserve">Veljko Kajtazi, nezavisni zastupnik austrijske, bugarske, njemačke, poljske, romske, rumunjske, rusinske, ruske, turske, ukrajinske, vlaške i židovske nacionalne manjine </w:t>
            </w:r>
          </w:p>
        </w:tc>
        <w:tc>
          <w:tcPr>
            <w:tcW w:w="1842" w:type="dxa"/>
            <w:vAlign w:val="center"/>
            <w:hideMark/>
          </w:tcPr>
          <w:p w14:paraId="4D4341C5"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283F0459"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1C3A928F" w14:textId="77777777" w:rsidTr="001F3738">
        <w:trPr>
          <w:trHeight w:val="576"/>
          <w:jc w:val="center"/>
        </w:trPr>
        <w:tc>
          <w:tcPr>
            <w:tcW w:w="495" w:type="dxa"/>
            <w:vAlign w:val="center"/>
            <w:hideMark/>
          </w:tcPr>
          <w:p w14:paraId="72615AF0" w14:textId="77777777" w:rsidR="008713E7" w:rsidRPr="00324820" w:rsidRDefault="008713E7" w:rsidP="008713E7">
            <w:pPr>
              <w:rPr>
                <w:rFonts w:cs="Arial"/>
                <w:sz w:val="20"/>
                <w:szCs w:val="20"/>
              </w:rPr>
            </w:pPr>
            <w:r w:rsidRPr="00324820">
              <w:rPr>
                <w:rFonts w:cs="Arial"/>
                <w:sz w:val="20"/>
                <w:szCs w:val="20"/>
              </w:rPr>
              <w:t>5.</w:t>
            </w:r>
          </w:p>
        </w:tc>
        <w:tc>
          <w:tcPr>
            <w:tcW w:w="5596" w:type="dxa"/>
            <w:vAlign w:val="center"/>
            <w:hideMark/>
          </w:tcPr>
          <w:p w14:paraId="1BEA9F21" w14:textId="77777777" w:rsidR="008713E7" w:rsidRPr="00324820" w:rsidRDefault="008713E7" w:rsidP="008713E7">
            <w:pPr>
              <w:rPr>
                <w:rFonts w:cs="Arial"/>
                <w:sz w:val="20"/>
                <w:szCs w:val="20"/>
              </w:rPr>
            </w:pPr>
            <w:r w:rsidRPr="00324820">
              <w:rPr>
                <w:rFonts w:cs="Arial"/>
                <w:sz w:val="20"/>
                <w:szCs w:val="20"/>
              </w:rPr>
              <w:t xml:space="preserve">Ermina Lekaj Prljaskaj, nezavisna zastupnica albanske, bošnjačke, crnogorske, makedonske i slovenske nacionalne manjine do 16. 5. 2024. </w:t>
            </w:r>
          </w:p>
        </w:tc>
        <w:tc>
          <w:tcPr>
            <w:tcW w:w="1842" w:type="dxa"/>
            <w:vAlign w:val="center"/>
            <w:hideMark/>
          </w:tcPr>
          <w:p w14:paraId="12E764DF"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5215751C"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07B80BF0" w14:textId="77777777" w:rsidTr="001F3738">
        <w:trPr>
          <w:trHeight w:val="288"/>
          <w:jc w:val="center"/>
        </w:trPr>
        <w:tc>
          <w:tcPr>
            <w:tcW w:w="495" w:type="dxa"/>
            <w:vAlign w:val="center"/>
            <w:hideMark/>
          </w:tcPr>
          <w:p w14:paraId="0E153432" w14:textId="77777777" w:rsidR="008713E7" w:rsidRPr="00324820" w:rsidRDefault="008713E7" w:rsidP="008713E7">
            <w:pPr>
              <w:rPr>
                <w:rFonts w:cs="Arial"/>
                <w:sz w:val="20"/>
                <w:szCs w:val="20"/>
              </w:rPr>
            </w:pPr>
            <w:r w:rsidRPr="00324820">
              <w:rPr>
                <w:rFonts w:cs="Arial"/>
                <w:sz w:val="20"/>
                <w:szCs w:val="20"/>
              </w:rPr>
              <w:t>6.</w:t>
            </w:r>
          </w:p>
        </w:tc>
        <w:tc>
          <w:tcPr>
            <w:tcW w:w="5596" w:type="dxa"/>
            <w:vAlign w:val="center"/>
            <w:hideMark/>
          </w:tcPr>
          <w:p w14:paraId="5E801723" w14:textId="77777777" w:rsidR="008713E7" w:rsidRPr="00324820" w:rsidRDefault="008713E7" w:rsidP="008713E7">
            <w:pPr>
              <w:rPr>
                <w:rFonts w:cs="Arial"/>
                <w:sz w:val="20"/>
                <w:szCs w:val="20"/>
              </w:rPr>
            </w:pPr>
            <w:r w:rsidRPr="00324820">
              <w:rPr>
                <w:rFonts w:cs="Arial"/>
                <w:sz w:val="20"/>
                <w:szCs w:val="20"/>
              </w:rPr>
              <w:t xml:space="preserve">dr. sc. Furio Radin, nezavisni zastupnik talijanske nacionalne manjine </w:t>
            </w:r>
          </w:p>
        </w:tc>
        <w:tc>
          <w:tcPr>
            <w:tcW w:w="1842" w:type="dxa"/>
            <w:vAlign w:val="center"/>
            <w:hideMark/>
          </w:tcPr>
          <w:p w14:paraId="730483A9"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0F3BE475"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599011DA" w14:textId="77777777" w:rsidTr="001F3738">
        <w:trPr>
          <w:trHeight w:val="288"/>
          <w:jc w:val="center"/>
        </w:trPr>
        <w:tc>
          <w:tcPr>
            <w:tcW w:w="9776" w:type="dxa"/>
            <w:gridSpan w:val="4"/>
            <w:shd w:val="clear" w:color="auto" w:fill="D9D9D9" w:themeFill="background1" w:themeFillShade="D9"/>
            <w:vAlign w:val="center"/>
            <w:hideMark/>
          </w:tcPr>
          <w:p w14:paraId="3AAEA8D7" w14:textId="77777777" w:rsidR="008713E7" w:rsidRPr="00820BCA" w:rsidRDefault="008713E7" w:rsidP="008713E7">
            <w:pPr>
              <w:rPr>
                <w:rFonts w:cs="Arial"/>
                <w:b/>
                <w:sz w:val="20"/>
                <w:szCs w:val="20"/>
              </w:rPr>
            </w:pPr>
            <w:r>
              <w:rPr>
                <w:rFonts w:cs="Arial"/>
                <w:b/>
                <w:sz w:val="20"/>
                <w:szCs w:val="20"/>
              </w:rPr>
              <w:t xml:space="preserve">        </w:t>
            </w:r>
            <w:r w:rsidRPr="00820BCA">
              <w:rPr>
                <w:rFonts w:cs="Arial"/>
                <w:b/>
                <w:sz w:val="20"/>
                <w:szCs w:val="20"/>
              </w:rPr>
              <w:t xml:space="preserve">Trgovačka društva u vlasništvu </w:t>
            </w:r>
            <w:r>
              <w:rPr>
                <w:rFonts w:cs="Arial"/>
                <w:b/>
                <w:sz w:val="20"/>
                <w:szCs w:val="20"/>
              </w:rPr>
              <w:t>lokalnih jedinica</w:t>
            </w:r>
          </w:p>
        </w:tc>
      </w:tr>
      <w:tr w:rsidR="008713E7" w:rsidRPr="00324820" w14:paraId="24297827" w14:textId="77777777" w:rsidTr="001F3738">
        <w:trPr>
          <w:trHeight w:val="288"/>
          <w:jc w:val="center"/>
        </w:trPr>
        <w:tc>
          <w:tcPr>
            <w:tcW w:w="495" w:type="dxa"/>
            <w:vAlign w:val="center"/>
            <w:hideMark/>
          </w:tcPr>
          <w:p w14:paraId="0709B88F" w14:textId="77777777" w:rsidR="008713E7" w:rsidRPr="00324820" w:rsidRDefault="008713E7" w:rsidP="008713E7">
            <w:pPr>
              <w:rPr>
                <w:rFonts w:cs="Arial"/>
                <w:sz w:val="20"/>
                <w:szCs w:val="20"/>
              </w:rPr>
            </w:pPr>
            <w:r w:rsidRPr="00324820">
              <w:rPr>
                <w:rFonts w:cs="Arial"/>
                <w:sz w:val="20"/>
                <w:szCs w:val="20"/>
              </w:rPr>
              <w:t>1.</w:t>
            </w:r>
          </w:p>
        </w:tc>
        <w:tc>
          <w:tcPr>
            <w:tcW w:w="5596" w:type="dxa"/>
            <w:vAlign w:val="center"/>
            <w:hideMark/>
          </w:tcPr>
          <w:p w14:paraId="1AF9E9B1" w14:textId="77777777" w:rsidR="008713E7" w:rsidRPr="00324820" w:rsidRDefault="008713E7" w:rsidP="008713E7">
            <w:pPr>
              <w:rPr>
                <w:rFonts w:cs="Arial"/>
                <w:sz w:val="20"/>
                <w:szCs w:val="20"/>
              </w:rPr>
            </w:pPr>
            <w:r w:rsidRPr="00324820">
              <w:rPr>
                <w:rFonts w:cs="Arial"/>
                <w:sz w:val="20"/>
                <w:szCs w:val="20"/>
              </w:rPr>
              <w:t>Arburoža d.o.o., Novalja</w:t>
            </w:r>
          </w:p>
        </w:tc>
        <w:tc>
          <w:tcPr>
            <w:tcW w:w="1842" w:type="dxa"/>
            <w:vAlign w:val="center"/>
            <w:hideMark/>
          </w:tcPr>
          <w:p w14:paraId="0086F76F"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54CEFF6A"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3385CFE3" w14:textId="77777777" w:rsidTr="001F3738">
        <w:trPr>
          <w:trHeight w:val="288"/>
          <w:jc w:val="center"/>
        </w:trPr>
        <w:tc>
          <w:tcPr>
            <w:tcW w:w="495" w:type="dxa"/>
            <w:vAlign w:val="center"/>
            <w:hideMark/>
          </w:tcPr>
          <w:p w14:paraId="65F32BA9" w14:textId="77777777" w:rsidR="008713E7" w:rsidRPr="00324820" w:rsidRDefault="008713E7" w:rsidP="008713E7">
            <w:pPr>
              <w:rPr>
                <w:rFonts w:cs="Arial"/>
                <w:sz w:val="20"/>
                <w:szCs w:val="20"/>
              </w:rPr>
            </w:pPr>
            <w:r w:rsidRPr="00324820">
              <w:rPr>
                <w:rFonts w:cs="Arial"/>
                <w:sz w:val="20"/>
                <w:szCs w:val="20"/>
              </w:rPr>
              <w:t>2.</w:t>
            </w:r>
          </w:p>
        </w:tc>
        <w:tc>
          <w:tcPr>
            <w:tcW w:w="5596" w:type="dxa"/>
            <w:vAlign w:val="center"/>
            <w:hideMark/>
          </w:tcPr>
          <w:p w14:paraId="3CDED4C7" w14:textId="77777777" w:rsidR="008713E7" w:rsidRPr="00324820" w:rsidRDefault="008713E7" w:rsidP="008713E7">
            <w:pPr>
              <w:rPr>
                <w:rFonts w:cs="Arial"/>
                <w:sz w:val="20"/>
                <w:szCs w:val="20"/>
              </w:rPr>
            </w:pPr>
            <w:r w:rsidRPr="00324820">
              <w:rPr>
                <w:rFonts w:cs="Arial"/>
                <w:sz w:val="20"/>
                <w:szCs w:val="20"/>
              </w:rPr>
              <w:t>Bjelovarski sajam d.o.o.</w:t>
            </w:r>
          </w:p>
        </w:tc>
        <w:tc>
          <w:tcPr>
            <w:tcW w:w="1842" w:type="dxa"/>
            <w:vAlign w:val="center"/>
            <w:hideMark/>
          </w:tcPr>
          <w:p w14:paraId="4B959CBA"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45AA5B85"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50B62B1C" w14:textId="77777777" w:rsidTr="001F3738">
        <w:trPr>
          <w:trHeight w:val="288"/>
          <w:jc w:val="center"/>
        </w:trPr>
        <w:tc>
          <w:tcPr>
            <w:tcW w:w="495" w:type="dxa"/>
            <w:vAlign w:val="center"/>
            <w:hideMark/>
          </w:tcPr>
          <w:p w14:paraId="2F8517C0" w14:textId="77777777" w:rsidR="008713E7" w:rsidRPr="00324820" w:rsidRDefault="008713E7" w:rsidP="008713E7">
            <w:pPr>
              <w:rPr>
                <w:rFonts w:cs="Arial"/>
                <w:sz w:val="20"/>
                <w:szCs w:val="20"/>
              </w:rPr>
            </w:pPr>
            <w:r w:rsidRPr="00324820">
              <w:rPr>
                <w:rFonts w:cs="Arial"/>
                <w:sz w:val="20"/>
                <w:szCs w:val="20"/>
              </w:rPr>
              <w:t>3.</w:t>
            </w:r>
          </w:p>
        </w:tc>
        <w:tc>
          <w:tcPr>
            <w:tcW w:w="5596" w:type="dxa"/>
            <w:vAlign w:val="center"/>
            <w:hideMark/>
          </w:tcPr>
          <w:p w14:paraId="1FECE3E3" w14:textId="77777777" w:rsidR="008713E7" w:rsidRPr="00324820" w:rsidRDefault="008713E7" w:rsidP="008713E7">
            <w:pPr>
              <w:rPr>
                <w:rFonts w:cs="Arial"/>
                <w:sz w:val="20"/>
                <w:szCs w:val="20"/>
              </w:rPr>
            </w:pPr>
            <w:r w:rsidRPr="00324820">
              <w:rPr>
                <w:rFonts w:cs="Arial"/>
                <w:sz w:val="20"/>
                <w:szCs w:val="20"/>
              </w:rPr>
              <w:t>Eko Jankovci d.o.o., Stari Jankovci</w:t>
            </w:r>
          </w:p>
        </w:tc>
        <w:tc>
          <w:tcPr>
            <w:tcW w:w="1842" w:type="dxa"/>
            <w:vAlign w:val="center"/>
            <w:hideMark/>
          </w:tcPr>
          <w:p w14:paraId="5DEF4BB6"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40387390"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75581268" w14:textId="77777777" w:rsidTr="001F3738">
        <w:trPr>
          <w:trHeight w:val="288"/>
          <w:jc w:val="center"/>
        </w:trPr>
        <w:tc>
          <w:tcPr>
            <w:tcW w:w="495" w:type="dxa"/>
            <w:vAlign w:val="center"/>
            <w:hideMark/>
          </w:tcPr>
          <w:p w14:paraId="77A0BC2B" w14:textId="77777777" w:rsidR="008713E7" w:rsidRPr="00324820" w:rsidRDefault="008713E7" w:rsidP="008713E7">
            <w:pPr>
              <w:rPr>
                <w:rFonts w:cs="Arial"/>
                <w:sz w:val="20"/>
                <w:szCs w:val="20"/>
              </w:rPr>
            </w:pPr>
            <w:r w:rsidRPr="00324820">
              <w:rPr>
                <w:rFonts w:cs="Arial"/>
                <w:sz w:val="20"/>
                <w:szCs w:val="20"/>
              </w:rPr>
              <w:t>4.</w:t>
            </w:r>
          </w:p>
        </w:tc>
        <w:tc>
          <w:tcPr>
            <w:tcW w:w="5596" w:type="dxa"/>
            <w:vAlign w:val="center"/>
            <w:hideMark/>
          </w:tcPr>
          <w:p w14:paraId="6C5FA625" w14:textId="77777777" w:rsidR="008713E7" w:rsidRPr="00324820" w:rsidRDefault="008713E7" w:rsidP="008713E7">
            <w:pPr>
              <w:rPr>
                <w:rFonts w:cs="Arial"/>
                <w:sz w:val="20"/>
                <w:szCs w:val="20"/>
              </w:rPr>
            </w:pPr>
            <w:r w:rsidRPr="00324820">
              <w:rPr>
                <w:rFonts w:cs="Arial"/>
                <w:sz w:val="20"/>
                <w:szCs w:val="20"/>
              </w:rPr>
              <w:t>Gradska čistoća Drniš d.o.o.</w:t>
            </w:r>
          </w:p>
        </w:tc>
        <w:tc>
          <w:tcPr>
            <w:tcW w:w="1842" w:type="dxa"/>
            <w:vAlign w:val="center"/>
            <w:hideMark/>
          </w:tcPr>
          <w:p w14:paraId="2C75C245"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3CAA890A"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208B434B" w14:textId="77777777" w:rsidTr="001F3738">
        <w:trPr>
          <w:trHeight w:val="288"/>
          <w:jc w:val="center"/>
        </w:trPr>
        <w:tc>
          <w:tcPr>
            <w:tcW w:w="495" w:type="dxa"/>
            <w:vAlign w:val="center"/>
            <w:hideMark/>
          </w:tcPr>
          <w:p w14:paraId="4EC70E73" w14:textId="77777777" w:rsidR="008713E7" w:rsidRPr="00324820" w:rsidRDefault="008713E7" w:rsidP="008713E7">
            <w:pPr>
              <w:rPr>
                <w:rFonts w:cs="Arial"/>
                <w:sz w:val="20"/>
                <w:szCs w:val="20"/>
              </w:rPr>
            </w:pPr>
            <w:r w:rsidRPr="00324820">
              <w:rPr>
                <w:rFonts w:cs="Arial"/>
                <w:sz w:val="20"/>
                <w:szCs w:val="20"/>
              </w:rPr>
              <w:t>5.</w:t>
            </w:r>
          </w:p>
        </w:tc>
        <w:tc>
          <w:tcPr>
            <w:tcW w:w="5596" w:type="dxa"/>
            <w:vAlign w:val="center"/>
            <w:hideMark/>
          </w:tcPr>
          <w:p w14:paraId="4582368E" w14:textId="77777777" w:rsidR="008713E7" w:rsidRPr="00324820" w:rsidRDefault="008713E7" w:rsidP="008713E7">
            <w:pPr>
              <w:rPr>
                <w:rFonts w:cs="Arial"/>
                <w:sz w:val="20"/>
                <w:szCs w:val="20"/>
              </w:rPr>
            </w:pPr>
            <w:r w:rsidRPr="00324820">
              <w:rPr>
                <w:rFonts w:cs="Arial"/>
                <w:sz w:val="20"/>
                <w:szCs w:val="20"/>
              </w:rPr>
              <w:t>Gradska tržnica Sisak-Centar dijeljenih usluga d.o.o.</w:t>
            </w:r>
          </w:p>
        </w:tc>
        <w:tc>
          <w:tcPr>
            <w:tcW w:w="1842" w:type="dxa"/>
            <w:vAlign w:val="center"/>
            <w:hideMark/>
          </w:tcPr>
          <w:p w14:paraId="2F73CB31"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0846D5F8"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2A9E916D" w14:textId="77777777" w:rsidTr="001F3738">
        <w:trPr>
          <w:trHeight w:val="288"/>
          <w:jc w:val="center"/>
        </w:trPr>
        <w:tc>
          <w:tcPr>
            <w:tcW w:w="495" w:type="dxa"/>
            <w:vAlign w:val="center"/>
            <w:hideMark/>
          </w:tcPr>
          <w:p w14:paraId="19A15091" w14:textId="77777777" w:rsidR="008713E7" w:rsidRPr="00324820" w:rsidRDefault="008713E7" w:rsidP="008713E7">
            <w:pPr>
              <w:rPr>
                <w:rFonts w:cs="Arial"/>
                <w:sz w:val="20"/>
                <w:szCs w:val="20"/>
              </w:rPr>
            </w:pPr>
            <w:r w:rsidRPr="00324820">
              <w:rPr>
                <w:rFonts w:cs="Arial"/>
                <w:sz w:val="20"/>
                <w:szCs w:val="20"/>
              </w:rPr>
              <w:t>6.</w:t>
            </w:r>
          </w:p>
        </w:tc>
        <w:tc>
          <w:tcPr>
            <w:tcW w:w="5596" w:type="dxa"/>
            <w:vAlign w:val="center"/>
            <w:hideMark/>
          </w:tcPr>
          <w:p w14:paraId="5C9C869E" w14:textId="77777777" w:rsidR="008713E7" w:rsidRPr="00324820" w:rsidRDefault="008713E7" w:rsidP="008713E7">
            <w:pPr>
              <w:rPr>
                <w:rFonts w:cs="Arial"/>
                <w:sz w:val="20"/>
                <w:szCs w:val="20"/>
              </w:rPr>
            </w:pPr>
            <w:r w:rsidRPr="00324820">
              <w:rPr>
                <w:rFonts w:cs="Arial"/>
                <w:sz w:val="20"/>
                <w:szCs w:val="20"/>
              </w:rPr>
              <w:t>Komunalac d.o.o. Korenica</w:t>
            </w:r>
          </w:p>
        </w:tc>
        <w:tc>
          <w:tcPr>
            <w:tcW w:w="1842" w:type="dxa"/>
            <w:vAlign w:val="center"/>
            <w:hideMark/>
          </w:tcPr>
          <w:p w14:paraId="7BE54139"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25042224"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1D43F7EC" w14:textId="77777777" w:rsidTr="001F3738">
        <w:trPr>
          <w:trHeight w:val="288"/>
          <w:jc w:val="center"/>
        </w:trPr>
        <w:tc>
          <w:tcPr>
            <w:tcW w:w="495" w:type="dxa"/>
            <w:vAlign w:val="center"/>
            <w:hideMark/>
          </w:tcPr>
          <w:p w14:paraId="203DCDFA" w14:textId="77777777" w:rsidR="008713E7" w:rsidRPr="00324820" w:rsidRDefault="008713E7" w:rsidP="008713E7">
            <w:pPr>
              <w:rPr>
                <w:rFonts w:cs="Arial"/>
                <w:sz w:val="20"/>
                <w:szCs w:val="20"/>
              </w:rPr>
            </w:pPr>
            <w:r w:rsidRPr="00324820">
              <w:rPr>
                <w:rFonts w:cs="Arial"/>
                <w:sz w:val="20"/>
                <w:szCs w:val="20"/>
              </w:rPr>
              <w:t>7.</w:t>
            </w:r>
          </w:p>
        </w:tc>
        <w:tc>
          <w:tcPr>
            <w:tcW w:w="5596" w:type="dxa"/>
            <w:vAlign w:val="center"/>
            <w:hideMark/>
          </w:tcPr>
          <w:p w14:paraId="7E13BF51" w14:textId="77777777" w:rsidR="008713E7" w:rsidRPr="00324820" w:rsidRDefault="008713E7" w:rsidP="008713E7">
            <w:pPr>
              <w:rPr>
                <w:rFonts w:cs="Arial"/>
                <w:sz w:val="20"/>
                <w:szCs w:val="20"/>
              </w:rPr>
            </w:pPr>
            <w:r w:rsidRPr="00324820">
              <w:rPr>
                <w:rFonts w:cs="Arial"/>
                <w:sz w:val="20"/>
                <w:szCs w:val="20"/>
              </w:rPr>
              <w:t>Komunalne usluge Đurđevac d.o.o.</w:t>
            </w:r>
          </w:p>
        </w:tc>
        <w:tc>
          <w:tcPr>
            <w:tcW w:w="1842" w:type="dxa"/>
            <w:vAlign w:val="center"/>
            <w:hideMark/>
          </w:tcPr>
          <w:p w14:paraId="569F7BEA"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3F6192A7"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5B504F9C" w14:textId="77777777" w:rsidTr="001F3738">
        <w:trPr>
          <w:trHeight w:val="288"/>
          <w:jc w:val="center"/>
        </w:trPr>
        <w:tc>
          <w:tcPr>
            <w:tcW w:w="495" w:type="dxa"/>
            <w:vAlign w:val="center"/>
            <w:hideMark/>
          </w:tcPr>
          <w:p w14:paraId="538AD7C0" w14:textId="77777777" w:rsidR="008713E7" w:rsidRPr="00324820" w:rsidRDefault="008713E7" w:rsidP="008713E7">
            <w:pPr>
              <w:rPr>
                <w:rFonts w:cs="Arial"/>
                <w:sz w:val="20"/>
                <w:szCs w:val="20"/>
              </w:rPr>
            </w:pPr>
            <w:r w:rsidRPr="00324820">
              <w:rPr>
                <w:rFonts w:cs="Arial"/>
                <w:sz w:val="20"/>
                <w:szCs w:val="20"/>
              </w:rPr>
              <w:t>8.</w:t>
            </w:r>
          </w:p>
        </w:tc>
        <w:tc>
          <w:tcPr>
            <w:tcW w:w="5596" w:type="dxa"/>
            <w:vAlign w:val="center"/>
            <w:hideMark/>
          </w:tcPr>
          <w:p w14:paraId="1083B160" w14:textId="77777777" w:rsidR="008713E7" w:rsidRPr="00324820" w:rsidRDefault="008713E7" w:rsidP="008713E7">
            <w:pPr>
              <w:rPr>
                <w:rFonts w:cs="Arial"/>
                <w:sz w:val="20"/>
                <w:szCs w:val="20"/>
              </w:rPr>
            </w:pPr>
            <w:r w:rsidRPr="00324820">
              <w:rPr>
                <w:rFonts w:cs="Arial"/>
                <w:sz w:val="20"/>
                <w:szCs w:val="20"/>
              </w:rPr>
              <w:t>Komunalno društvo Čistoća d.o.o., Rijeka</w:t>
            </w:r>
          </w:p>
        </w:tc>
        <w:tc>
          <w:tcPr>
            <w:tcW w:w="1842" w:type="dxa"/>
            <w:vAlign w:val="center"/>
            <w:hideMark/>
          </w:tcPr>
          <w:p w14:paraId="27387470"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3BD7A7E2"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692F1C54" w14:textId="77777777" w:rsidTr="001F3738">
        <w:trPr>
          <w:trHeight w:val="288"/>
          <w:jc w:val="center"/>
        </w:trPr>
        <w:tc>
          <w:tcPr>
            <w:tcW w:w="495" w:type="dxa"/>
            <w:vAlign w:val="center"/>
            <w:hideMark/>
          </w:tcPr>
          <w:p w14:paraId="330AEA97" w14:textId="77777777" w:rsidR="008713E7" w:rsidRPr="00324820" w:rsidRDefault="008713E7" w:rsidP="008713E7">
            <w:pPr>
              <w:rPr>
                <w:rFonts w:cs="Arial"/>
                <w:sz w:val="20"/>
                <w:szCs w:val="20"/>
              </w:rPr>
            </w:pPr>
            <w:r w:rsidRPr="00324820">
              <w:rPr>
                <w:rFonts w:cs="Arial"/>
                <w:sz w:val="20"/>
                <w:szCs w:val="20"/>
              </w:rPr>
              <w:t>9.</w:t>
            </w:r>
          </w:p>
        </w:tc>
        <w:tc>
          <w:tcPr>
            <w:tcW w:w="5596" w:type="dxa"/>
            <w:vAlign w:val="center"/>
            <w:hideMark/>
          </w:tcPr>
          <w:p w14:paraId="44D6714E" w14:textId="77777777" w:rsidR="008713E7" w:rsidRPr="00324820" w:rsidRDefault="008713E7" w:rsidP="008713E7">
            <w:pPr>
              <w:rPr>
                <w:rFonts w:cs="Arial"/>
                <w:sz w:val="20"/>
                <w:szCs w:val="20"/>
              </w:rPr>
            </w:pPr>
            <w:r w:rsidRPr="00324820">
              <w:rPr>
                <w:rFonts w:cs="Arial"/>
                <w:sz w:val="20"/>
                <w:szCs w:val="20"/>
              </w:rPr>
              <w:t>Komunalno društvo Kutjevo d.o.o.</w:t>
            </w:r>
          </w:p>
        </w:tc>
        <w:tc>
          <w:tcPr>
            <w:tcW w:w="1842" w:type="dxa"/>
            <w:vAlign w:val="center"/>
            <w:hideMark/>
          </w:tcPr>
          <w:p w14:paraId="71C59DFE" w14:textId="77777777" w:rsidR="008713E7" w:rsidRPr="00324820" w:rsidRDefault="008713E7" w:rsidP="008713E7">
            <w:pPr>
              <w:jc w:val="center"/>
              <w:rPr>
                <w:rFonts w:cs="Arial"/>
                <w:sz w:val="20"/>
                <w:szCs w:val="20"/>
              </w:rPr>
            </w:pPr>
            <w:r w:rsidRPr="00324820">
              <w:rPr>
                <w:rFonts w:cs="Arial"/>
                <w:sz w:val="20"/>
                <w:szCs w:val="20"/>
              </w:rPr>
              <w:t>nepovoljno</w:t>
            </w:r>
          </w:p>
        </w:tc>
        <w:tc>
          <w:tcPr>
            <w:tcW w:w="1843" w:type="dxa"/>
            <w:vAlign w:val="center"/>
            <w:hideMark/>
          </w:tcPr>
          <w:p w14:paraId="454AFF40"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6B453FA4" w14:textId="77777777" w:rsidTr="001F3738">
        <w:trPr>
          <w:trHeight w:val="288"/>
          <w:jc w:val="center"/>
        </w:trPr>
        <w:tc>
          <w:tcPr>
            <w:tcW w:w="495" w:type="dxa"/>
            <w:vAlign w:val="center"/>
            <w:hideMark/>
          </w:tcPr>
          <w:p w14:paraId="4F5EB9CD" w14:textId="77777777" w:rsidR="008713E7" w:rsidRPr="00324820" w:rsidRDefault="008713E7" w:rsidP="008713E7">
            <w:pPr>
              <w:rPr>
                <w:rFonts w:cs="Arial"/>
                <w:sz w:val="20"/>
                <w:szCs w:val="20"/>
              </w:rPr>
            </w:pPr>
            <w:r w:rsidRPr="00324820">
              <w:rPr>
                <w:rFonts w:cs="Arial"/>
                <w:sz w:val="20"/>
                <w:szCs w:val="20"/>
              </w:rPr>
              <w:t>10.</w:t>
            </w:r>
          </w:p>
        </w:tc>
        <w:tc>
          <w:tcPr>
            <w:tcW w:w="5596" w:type="dxa"/>
            <w:vAlign w:val="center"/>
            <w:hideMark/>
          </w:tcPr>
          <w:p w14:paraId="000ACDE9" w14:textId="77777777" w:rsidR="008713E7" w:rsidRPr="00324820" w:rsidRDefault="008713E7" w:rsidP="008713E7">
            <w:pPr>
              <w:rPr>
                <w:rFonts w:cs="Arial"/>
                <w:sz w:val="20"/>
                <w:szCs w:val="20"/>
              </w:rPr>
            </w:pPr>
            <w:r w:rsidRPr="00324820">
              <w:rPr>
                <w:rFonts w:cs="Arial"/>
                <w:sz w:val="20"/>
                <w:szCs w:val="20"/>
              </w:rPr>
              <w:t>Liburnija d.o.o., Zadar</w:t>
            </w:r>
          </w:p>
        </w:tc>
        <w:tc>
          <w:tcPr>
            <w:tcW w:w="1842" w:type="dxa"/>
            <w:vAlign w:val="center"/>
            <w:hideMark/>
          </w:tcPr>
          <w:p w14:paraId="398A0E5B"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00558112"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5CF8A40D" w14:textId="77777777" w:rsidTr="001F3738">
        <w:trPr>
          <w:trHeight w:val="288"/>
          <w:jc w:val="center"/>
        </w:trPr>
        <w:tc>
          <w:tcPr>
            <w:tcW w:w="495" w:type="dxa"/>
            <w:vAlign w:val="center"/>
            <w:hideMark/>
          </w:tcPr>
          <w:p w14:paraId="5AA767F2" w14:textId="77777777" w:rsidR="008713E7" w:rsidRPr="00324820" w:rsidRDefault="008713E7" w:rsidP="008713E7">
            <w:pPr>
              <w:rPr>
                <w:rFonts w:cs="Arial"/>
                <w:sz w:val="20"/>
                <w:szCs w:val="20"/>
              </w:rPr>
            </w:pPr>
            <w:r w:rsidRPr="00324820">
              <w:rPr>
                <w:rFonts w:cs="Arial"/>
                <w:sz w:val="20"/>
                <w:szCs w:val="20"/>
              </w:rPr>
              <w:t>11.</w:t>
            </w:r>
          </w:p>
        </w:tc>
        <w:tc>
          <w:tcPr>
            <w:tcW w:w="5596" w:type="dxa"/>
            <w:vAlign w:val="center"/>
            <w:hideMark/>
          </w:tcPr>
          <w:p w14:paraId="634B9065" w14:textId="77777777" w:rsidR="008713E7" w:rsidRPr="00324820" w:rsidRDefault="008713E7" w:rsidP="008713E7">
            <w:pPr>
              <w:rPr>
                <w:rFonts w:cs="Arial"/>
                <w:sz w:val="20"/>
                <w:szCs w:val="20"/>
              </w:rPr>
            </w:pPr>
            <w:r w:rsidRPr="00324820">
              <w:rPr>
                <w:rFonts w:cs="Arial"/>
                <w:sz w:val="20"/>
                <w:szCs w:val="20"/>
              </w:rPr>
              <w:t>Lijepa Bistrica d.o.o., Marija Bistrica</w:t>
            </w:r>
          </w:p>
        </w:tc>
        <w:tc>
          <w:tcPr>
            <w:tcW w:w="1842" w:type="dxa"/>
            <w:vAlign w:val="center"/>
            <w:hideMark/>
          </w:tcPr>
          <w:p w14:paraId="64EF5898"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4D269A42"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3B0B2D2F" w14:textId="77777777" w:rsidTr="001F3738">
        <w:trPr>
          <w:trHeight w:val="288"/>
          <w:jc w:val="center"/>
        </w:trPr>
        <w:tc>
          <w:tcPr>
            <w:tcW w:w="495" w:type="dxa"/>
            <w:vAlign w:val="center"/>
            <w:hideMark/>
          </w:tcPr>
          <w:p w14:paraId="49BA6AE7" w14:textId="77777777" w:rsidR="008713E7" w:rsidRPr="00324820" w:rsidRDefault="008713E7" w:rsidP="008713E7">
            <w:pPr>
              <w:rPr>
                <w:rFonts w:cs="Arial"/>
                <w:sz w:val="20"/>
                <w:szCs w:val="20"/>
              </w:rPr>
            </w:pPr>
            <w:r w:rsidRPr="00324820">
              <w:rPr>
                <w:rFonts w:cs="Arial"/>
                <w:sz w:val="20"/>
                <w:szCs w:val="20"/>
              </w:rPr>
              <w:t>12.</w:t>
            </w:r>
          </w:p>
        </w:tc>
        <w:tc>
          <w:tcPr>
            <w:tcW w:w="5596" w:type="dxa"/>
            <w:vAlign w:val="center"/>
            <w:hideMark/>
          </w:tcPr>
          <w:p w14:paraId="0FA3F424" w14:textId="77777777" w:rsidR="008713E7" w:rsidRPr="00324820" w:rsidRDefault="008713E7" w:rsidP="008713E7">
            <w:pPr>
              <w:rPr>
                <w:rFonts w:cs="Arial"/>
                <w:sz w:val="20"/>
                <w:szCs w:val="20"/>
              </w:rPr>
            </w:pPr>
            <w:r w:rsidRPr="00324820">
              <w:rPr>
                <w:rFonts w:cs="Arial"/>
                <w:sz w:val="20"/>
                <w:szCs w:val="20"/>
              </w:rPr>
              <w:t>Ljekarna Čakovec</w:t>
            </w:r>
          </w:p>
        </w:tc>
        <w:tc>
          <w:tcPr>
            <w:tcW w:w="1842" w:type="dxa"/>
            <w:vAlign w:val="center"/>
            <w:hideMark/>
          </w:tcPr>
          <w:p w14:paraId="1FD9C2DA"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0014DA66"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26623980" w14:textId="77777777" w:rsidTr="001F3738">
        <w:trPr>
          <w:trHeight w:val="288"/>
          <w:jc w:val="center"/>
        </w:trPr>
        <w:tc>
          <w:tcPr>
            <w:tcW w:w="495" w:type="dxa"/>
            <w:vAlign w:val="center"/>
            <w:hideMark/>
          </w:tcPr>
          <w:p w14:paraId="36D12B69" w14:textId="77777777" w:rsidR="008713E7" w:rsidRPr="00324820" w:rsidRDefault="008713E7" w:rsidP="008713E7">
            <w:pPr>
              <w:rPr>
                <w:rFonts w:cs="Arial"/>
                <w:sz w:val="20"/>
                <w:szCs w:val="20"/>
              </w:rPr>
            </w:pPr>
            <w:r w:rsidRPr="00324820">
              <w:rPr>
                <w:rFonts w:cs="Arial"/>
                <w:sz w:val="20"/>
                <w:szCs w:val="20"/>
              </w:rPr>
              <w:t>13.</w:t>
            </w:r>
          </w:p>
        </w:tc>
        <w:tc>
          <w:tcPr>
            <w:tcW w:w="5596" w:type="dxa"/>
            <w:vAlign w:val="center"/>
            <w:hideMark/>
          </w:tcPr>
          <w:p w14:paraId="117B1943" w14:textId="77777777" w:rsidR="008713E7" w:rsidRPr="00324820" w:rsidRDefault="008713E7" w:rsidP="008713E7">
            <w:pPr>
              <w:rPr>
                <w:rFonts w:cs="Arial"/>
                <w:sz w:val="20"/>
                <w:szCs w:val="20"/>
              </w:rPr>
            </w:pPr>
            <w:r w:rsidRPr="00324820">
              <w:rPr>
                <w:rFonts w:cs="Arial"/>
                <w:sz w:val="20"/>
                <w:szCs w:val="20"/>
              </w:rPr>
              <w:t>Nasadi d.o.o., Zadar</w:t>
            </w:r>
          </w:p>
        </w:tc>
        <w:tc>
          <w:tcPr>
            <w:tcW w:w="1842" w:type="dxa"/>
            <w:vAlign w:val="center"/>
            <w:hideMark/>
          </w:tcPr>
          <w:p w14:paraId="3A84E912"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17EE2731"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1A9395DD" w14:textId="77777777" w:rsidTr="001F3738">
        <w:trPr>
          <w:trHeight w:val="288"/>
          <w:jc w:val="center"/>
        </w:trPr>
        <w:tc>
          <w:tcPr>
            <w:tcW w:w="495" w:type="dxa"/>
            <w:vAlign w:val="center"/>
            <w:hideMark/>
          </w:tcPr>
          <w:p w14:paraId="2144ADE8" w14:textId="77777777" w:rsidR="008713E7" w:rsidRPr="00324820" w:rsidRDefault="008713E7" w:rsidP="008713E7">
            <w:pPr>
              <w:rPr>
                <w:rFonts w:cs="Arial"/>
                <w:sz w:val="20"/>
                <w:szCs w:val="20"/>
              </w:rPr>
            </w:pPr>
            <w:r w:rsidRPr="00324820">
              <w:rPr>
                <w:rFonts w:cs="Arial"/>
                <w:sz w:val="20"/>
                <w:szCs w:val="20"/>
              </w:rPr>
              <w:t>14.</w:t>
            </w:r>
          </w:p>
        </w:tc>
        <w:tc>
          <w:tcPr>
            <w:tcW w:w="5596" w:type="dxa"/>
            <w:vAlign w:val="center"/>
            <w:hideMark/>
          </w:tcPr>
          <w:p w14:paraId="62D05EEB" w14:textId="77777777" w:rsidR="008713E7" w:rsidRPr="00324820" w:rsidRDefault="008713E7" w:rsidP="008713E7">
            <w:pPr>
              <w:rPr>
                <w:rFonts w:cs="Arial"/>
                <w:sz w:val="20"/>
                <w:szCs w:val="20"/>
              </w:rPr>
            </w:pPr>
            <w:r w:rsidRPr="00324820">
              <w:rPr>
                <w:rFonts w:cs="Arial"/>
                <w:sz w:val="20"/>
                <w:szCs w:val="20"/>
              </w:rPr>
              <w:t>Nautički centar Komiža d.o.o.</w:t>
            </w:r>
          </w:p>
        </w:tc>
        <w:tc>
          <w:tcPr>
            <w:tcW w:w="1842" w:type="dxa"/>
            <w:vAlign w:val="center"/>
            <w:hideMark/>
          </w:tcPr>
          <w:p w14:paraId="6ED63BB4"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2BBD5C88"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76056C08" w14:textId="77777777" w:rsidTr="001F3738">
        <w:trPr>
          <w:trHeight w:val="288"/>
          <w:jc w:val="center"/>
        </w:trPr>
        <w:tc>
          <w:tcPr>
            <w:tcW w:w="495" w:type="dxa"/>
            <w:vAlign w:val="center"/>
            <w:hideMark/>
          </w:tcPr>
          <w:p w14:paraId="2AE90B90" w14:textId="77777777" w:rsidR="008713E7" w:rsidRPr="00324820" w:rsidRDefault="008713E7" w:rsidP="008713E7">
            <w:pPr>
              <w:rPr>
                <w:rFonts w:cs="Arial"/>
                <w:sz w:val="20"/>
                <w:szCs w:val="20"/>
              </w:rPr>
            </w:pPr>
            <w:r w:rsidRPr="00324820">
              <w:rPr>
                <w:rFonts w:cs="Arial"/>
                <w:sz w:val="20"/>
                <w:szCs w:val="20"/>
              </w:rPr>
              <w:t>15.</w:t>
            </w:r>
          </w:p>
        </w:tc>
        <w:tc>
          <w:tcPr>
            <w:tcW w:w="5596" w:type="dxa"/>
            <w:vAlign w:val="center"/>
            <w:hideMark/>
          </w:tcPr>
          <w:p w14:paraId="496D69B4" w14:textId="77777777" w:rsidR="008713E7" w:rsidRPr="00324820" w:rsidRDefault="008713E7" w:rsidP="008713E7">
            <w:pPr>
              <w:rPr>
                <w:rFonts w:cs="Arial"/>
                <w:sz w:val="20"/>
                <w:szCs w:val="20"/>
              </w:rPr>
            </w:pPr>
            <w:r w:rsidRPr="00324820">
              <w:rPr>
                <w:rFonts w:cs="Arial"/>
                <w:sz w:val="20"/>
                <w:szCs w:val="20"/>
              </w:rPr>
              <w:t>Neapolis d.o.o., Novigrad</w:t>
            </w:r>
          </w:p>
        </w:tc>
        <w:tc>
          <w:tcPr>
            <w:tcW w:w="1842" w:type="dxa"/>
            <w:vAlign w:val="center"/>
            <w:hideMark/>
          </w:tcPr>
          <w:p w14:paraId="057D08CB"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28C70487"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3E1F5788" w14:textId="77777777" w:rsidTr="001F3738">
        <w:trPr>
          <w:trHeight w:val="288"/>
          <w:jc w:val="center"/>
        </w:trPr>
        <w:tc>
          <w:tcPr>
            <w:tcW w:w="495" w:type="dxa"/>
            <w:vAlign w:val="center"/>
            <w:hideMark/>
          </w:tcPr>
          <w:p w14:paraId="490E6990" w14:textId="77777777" w:rsidR="008713E7" w:rsidRPr="00324820" w:rsidRDefault="008713E7" w:rsidP="008713E7">
            <w:pPr>
              <w:rPr>
                <w:rFonts w:cs="Arial"/>
                <w:sz w:val="20"/>
                <w:szCs w:val="20"/>
              </w:rPr>
            </w:pPr>
            <w:r w:rsidRPr="00324820">
              <w:rPr>
                <w:rFonts w:cs="Arial"/>
                <w:sz w:val="20"/>
                <w:szCs w:val="20"/>
              </w:rPr>
              <w:t>16.</w:t>
            </w:r>
          </w:p>
        </w:tc>
        <w:tc>
          <w:tcPr>
            <w:tcW w:w="5596" w:type="dxa"/>
            <w:vAlign w:val="center"/>
            <w:hideMark/>
          </w:tcPr>
          <w:p w14:paraId="48F4A07D" w14:textId="77777777" w:rsidR="008713E7" w:rsidRPr="00324820" w:rsidRDefault="008713E7" w:rsidP="008713E7">
            <w:pPr>
              <w:rPr>
                <w:rFonts w:cs="Arial"/>
                <w:sz w:val="20"/>
                <w:szCs w:val="20"/>
              </w:rPr>
            </w:pPr>
            <w:r w:rsidRPr="00324820">
              <w:rPr>
                <w:rFonts w:cs="Arial"/>
                <w:sz w:val="20"/>
                <w:szCs w:val="20"/>
              </w:rPr>
              <w:t xml:space="preserve">Obala i lučice d.o.o., Zadar </w:t>
            </w:r>
          </w:p>
        </w:tc>
        <w:tc>
          <w:tcPr>
            <w:tcW w:w="1842" w:type="dxa"/>
            <w:vAlign w:val="center"/>
            <w:hideMark/>
          </w:tcPr>
          <w:p w14:paraId="6BBDB9D1"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688E8208"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469142DF" w14:textId="77777777" w:rsidTr="001F3738">
        <w:trPr>
          <w:trHeight w:val="288"/>
          <w:jc w:val="center"/>
        </w:trPr>
        <w:tc>
          <w:tcPr>
            <w:tcW w:w="495" w:type="dxa"/>
            <w:vAlign w:val="center"/>
            <w:hideMark/>
          </w:tcPr>
          <w:p w14:paraId="536DC217" w14:textId="77777777" w:rsidR="008713E7" w:rsidRPr="00324820" w:rsidRDefault="008713E7" w:rsidP="008713E7">
            <w:pPr>
              <w:rPr>
                <w:rFonts w:cs="Arial"/>
                <w:sz w:val="20"/>
                <w:szCs w:val="20"/>
              </w:rPr>
            </w:pPr>
            <w:r w:rsidRPr="00324820">
              <w:rPr>
                <w:rFonts w:cs="Arial"/>
                <w:sz w:val="20"/>
                <w:szCs w:val="20"/>
              </w:rPr>
              <w:t>17.</w:t>
            </w:r>
          </w:p>
        </w:tc>
        <w:tc>
          <w:tcPr>
            <w:tcW w:w="5596" w:type="dxa"/>
            <w:vAlign w:val="center"/>
            <w:hideMark/>
          </w:tcPr>
          <w:p w14:paraId="34BBC359" w14:textId="77777777" w:rsidR="008713E7" w:rsidRPr="00324820" w:rsidRDefault="008713E7" w:rsidP="008713E7">
            <w:pPr>
              <w:rPr>
                <w:rFonts w:cs="Arial"/>
                <w:sz w:val="20"/>
                <w:szCs w:val="20"/>
              </w:rPr>
            </w:pPr>
            <w:r w:rsidRPr="00324820">
              <w:rPr>
                <w:rFonts w:cs="Arial"/>
                <w:sz w:val="20"/>
                <w:szCs w:val="20"/>
              </w:rPr>
              <w:t>Pleternički komunalac d.o.o., Pleternica</w:t>
            </w:r>
          </w:p>
        </w:tc>
        <w:tc>
          <w:tcPr>
            <w:tcW w:w="1842" w:type="dxa"/>
            <w:vAlign w:val="center"/>
            <w:hideMark/>
          </w:tcPr>
          <w:p w14:paraId="224202C1"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59705C49"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5EF47DB3" w14:textId="77777777" w:rsidTr="001F3738">
        <w:trPr>
          <w:trHeight w:val="288"/>
          <w:jc w:val="center"/>
        </w:trPr>
        <w:tc>
          <w:tcPr>
            <w:tcW w:w="495" w:type="dxa"/>
            <w:vAlign w:val="center"/>
            <w:hideMark/>
          </w:tcPr>
          <w:p w14:paraId="4DBF437F" w14:textId="77777777" w:rsidR="008713E7" w:rsidRPr="00324820" w:rsidRDefault="008713E7" w:rsidP="008713E7">
            <w:pPr>
              <w:rPr>
                <w:rFonts w:cs="Arial"/>
                <w:sz w:val="20"/>
                <w:szCs w:val="20"/>
              </w:rPr>
            </w:pPr>
            <w:r w:rsidRPr="00324820">
              <w:rPr>
                <w:rFonts w:cs="Arial"/>
                <w:sz w:val="20"/>
                <w:szCs w:val="20"/>
              </w:rPr>
              <w:t>18.</w:t>
            </w:r>
          </w:p>
        </w:tc>
        <w:tc>
          <w:tcPr>
            <w:tcW w:w="5596" w:type="dxa"/>
            <w:vAlign w:val="center"/>
            <w:hideMark/>
          </w:tcPr>
          <w:p w14:paraId="3D8D3AD9" w14:textId="77777777" w:rsidR="008713E7" w:rsidRPr="00324820" w:rsidRDefault="008713E7" w:rsidP="008713E7">
            <w:pPr>
              <w:rPr>
                <w:rFonts w:cs="Arial"/>
                <w:sz w:val="20"/>
                <w:szCs w:val="20"/>
              </w:rPr>
            </w:pPr>
            <w:r w:rsidRPr="00324820">
              <w:rPr>
                <w:rFonts w:cs="Arial"/>
                <w:sz w:val="20"/>
                <w:szCs w:val="20"/>
              </w:rPr>
              <w:t>Sanitat Dubrovnik d.o.o.</w:t>
            </w:r>
          </w:p>
        </w:tc>
        <w:tc>
          <w:tcPr>
            <w:tcW w:w="1842" w:type="dxa"/>
            <w:vAlign w:val="center"/>
            <w:hideMark/>
          </w:tcPr>
          <w:p w14:paraId="6E177D42"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162D326F"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52B78069" w14:textId="77777777" w:rsidTr="001F3738">
        <w:trPr>
          <w:trHeight w:val="288"/>
          <w:jc w:val="center"/>
        </w:trPr>
        <w:tc>
          <w:tcPr>
            <w:tcW w:w="495" w:type="dxa"/>
            <w:vAlign w:val="center"/>
            <w:hideMark/>
          </w:tcPr>
          <w:p w14:paraId="648730C4" w14:textId="77777777" w:rsidR="008713E7" w:rsidRPr="00324820" w:rsidRDefault="008713E7" w:rsidP="008713E7">
            <w:pPr>
              <w:rPr>
                <w:rFonts w:cs="Arial"/>
                <w:sz w:val="20"/>
                <w:szCs w:val="20"/>
              </w:rPr>
            </w:pPr>
            <w:r w:rsidRPr="00324820">
              <w:rPr>
                <w:rFonts w:cs="Arial"/>
                <w:sz w:val="20"/>
                <w:szCs w:val="20"/>
              </w:rPr>
              <w:t>19.</w:t>
            </w:r>
          </w:p>
        </w:tc>
        <w:tc>
          <w:tcPr>
            <w:tcW w:w="5596" w:type="dxa"/>
            <w:vAlign w:val="center"/>
            <w:hideMark/>
          </w:tcPr>
          <w:p w14:paraId="3166A8E5" w14:textId="77777777" w:rsidR="008713E7" w:rsidRPr="00324820" w:rsidRDefault="008713E7" w:rsidP="008713E7">
            <w:pPr>
              <w:rPr>
                <w:rFonts w:cs="Arial"/>
                <w:sz w:val="20"/>
                <w:szCs w:val="20"/>
              </w:rPr>
            </w:pPr>
            <w:r w:rsidRPr="00324820">
              <w:rPr>
                <w:rFonts w:cs="Arial"/>
                <w:sz w:val="20"/>
                <w:szCs w:val="20"/>
              </w:rPr>
              <w:t>Split parking d.o.o.</w:t>
            </w:r>
          </w:p>
        </w:tc>
        <w:tc>
          <w:tcPr>
            <w:tcW w:w="1842" w:type="dxa"/>
            <w:vAlign w:val="center"/>
            <w:hideMark/>
          </w:tcPr>
          <w:p w14:paraId="4A6A1CED"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63E491BA"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075590C0" w14:textId="77777777" w:rsidTr="001F3738">
        <w:trPr>
          <w:trHeight w:val="288"/>
          <w:jc w:val="center"/>
        </w:trPr>
        <w:tc>
          <w:tcPr>
            <w:tcW w:w="495" w:type="dxa"/>
            <w:vAlign w:val="center"/>
            <w:hideMark/>
          </w:tcPr>
          <w:p w14:paraId="64C60EF0" w14:textId="77777777" w:rsidR="008713E7" w:rsidRPr="00324820" w:rsidRDefault="008713E7" w:rsidP="008713E7">
            <w:pPr>
              <w:rPr>
                <w:rFonts w:cs="Arial"/>
                <w:sz w:val="20"/>
                <w:szCs w:val="20"/>
              </w:rPr>
            </w:pPr>
            <w:r w:rsidRPr="00324820">
              <w:rPr>
                <w:rFonts w:cs="Arial"/>
                <w:sz w:val="20"/>
                <w:szCs w:val="20"/>
              </w:rPr>
              <w:t>20.</w:t>
            </w:r>
          </w:p>
        </w:tc>
        <w:tc>
          <w:tcPr>
            <w:tcW w:w="5596" w:type="dxa"/>
            <w:vAlign w:val="center"/>
            <w:hideMark/>
          </w:tcPr>
          <w:p w14:paraId="1D380261" w14:textId="77777777" w:rsidR="008713E7" w:rsidRPr="00324820" w:rsidRDefault="008713E7" w:rsidP="008713E7">
            <w:pPr>
              <w:rPr>
                <w:rFonts w:cs="Arial"/>
                <w:sz w:val="20"/>
                <w:szCs w:val="20"/>
              </w:rPr>
            </w:pPr>
            <w:r w:rsidRPr="00324820">
              <w:rPr>
                <w:rFonts w:cs="Arial"/>
                <w:sz w:val="20"/>
                <w:szCs w:val="20"/>
              </w:rPr>
              <w:t>Športski objekti d.o.o. Osijek</w:t>
            </w:r>
          </w:p>
        </w:tc>
        <w:tc>
          <w:tcPr>
            <w:tcW w:w="1842" w:type="dxa"/>
            <w:vAlign w:val="center"/>
            <w:hideMark/>
          </w:tcPr>
          <w:p w14:paraId="08BFFA04"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47E71676"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4E4CE5CB" w14:textId="77777777" w:rsidTr="001F3738">
        <w:trPr>
          <w:trHeight w:val="288"/>
          <w:jc w:val="center"/>
        </w:trPr>
        <w:tc>
          <w:tcPr>
            <w:tcW w:w="495" w:type="dxa"/>
            <w:vAlign w:val="center"/>
            <w:hideMark/>
          </w:tcPr>
          <w:p w14:paraId="789ECE18" w14:textId="77777777" w:rsidR="008713E7" w:rsidRPr="00324820" w:rsidRDefault="008713E7" w:rsidP="008713E7">
            <w:pPr>
              <w:rPr>
                <w:rFonts w:cs="Arial"/>
                <w:sz w:val="20"/>
                <w:szCs w:val="20"/>
              </w:rPr>
            </w:pPr>
            <w:r w:rsidRPr="00324820">
              <w:rPr>
                <w:rFonts w:cs="Arial"/>
                <w:sz w:val="20"/>
                <w:szCs w:val="20"/>
              </w:rPr>
              <w:t>21.</w:t>
            </w:r>
          </w:p>
        </w:tc>
        <w:tc>
          <w:tcPr>
            <w:tcW w:w="5596" w:type="dxa"/>
            <w:vAlign w:val="center"/>
            <w:hideMark/>
          </w:tcPr>
          <w:p w14:paraId="7F555F55" w14:textId="77777777" w:rsidR="008713E7" w:rsidRPr="00324820" w:rsidRDefault="008713E7" w:rsidP="008713E7">
            <w:pPr>
              <w:rPr>
                <w:rFonts w:cs="Arial"/>
                <w:sz w:val="20"/>
                <w:szCs w:val="20"/>
              </w:rPr>
            </w:pPr>
            <w:r w:rsidRPr="00324820">
              <w:rPr>
                <w:rFonts w:cs="Arial"/>
                <w:sz w:val="20"/>
                <w:szCs w:val="20"/>
              </w:rPr>
              <w:t>Vukovarski vodotoranj-simbol hrvatskog zajedništva d.o.o.</w:t>
            </w:r>
          </w:p>
        </w:tc>
        <w:tc>
          <w:tcPr>
            <w:tcW w:w="1842" w:type="dxa"/>
            <w:vAlign w:val="center"/>
            <w:hideMark/>
          </w:tcPr>
          <w:p w14:paraId="09374062" w14:textId="77777777" w:rsidR="008713E7" w:rsidRPr="00324820" w:rsidRDefault="008713E7" w:rsidP="008713E7">
            <w:pPr>
              <w:jc w:val="center"/>
              <w:rPr>
                <w:rFonts w:cs="Arial"/>
                <w:sz w:val="20"/>
                <w:szCs w:val="20"/>
              </w:rPr>
            </w:pPr>
            <w:r w:rsidRPr="00324820">
              <w:rPr>
                <w:rFonts w:cs="Arial"/>
                <w:sz w:val="20"/>
                <w:szCs w:val="20"/>
              </w:rPr>
              <w:t>bezuvjetno</w:t>
            </w:r>
          </w:p>
        </w:tc>
        <w:tc>
          <w:tcPr>
            <w:tcW w:w="1843" w:type="dxa"/>
            <w:vAlign w:val="center"/>
            <w:hideMark/>
          </w:tcPr>
          <w:p w14:paraId="27ADB6DC" w14:textId="77777777" w:rsidR="008713E7" w:rsidRPr="00324820" w:rsidRDefault="008713E7" w:rsidP="008713E7">
            <w:pPr>
              <w:jc w:val="center"/>
              <w:rPr>
                <w:rFonts w:cs="Arial"/>
                <w:sz w:val="20"/>
                <w:szCs w:val="20"/>
              </w:rPr>
            </w:pPr>
            <w:r w:rsidRPr="00324820">
              <w:rPr>
                <w:rFonts w:cs="Arial"/>
                <w:sz w:val="20"/>
                <w:szCs w:val="20"/>
              </w:rPr>
              <w:t>bezuvjetno</w:t>
            </w:r>
          </w:p>
        </w:tc>
      </w:tr>
      <w:tr w:rsidR="008713E7" w:rsidRPr="00324820" w14:paraId="37125DFA" w14:textId="77777777" w:rsidTr="001F3738">
        <w:trPr>
          <w:trHeight w:val="288"/>
          <w:jc w:val="center"/>
        </w:trPr>
        <w:tc>
          <w:tcPr>
            <w:tcW w:w="495" w:type="dxa"/>
            <w:vAlign w:val="center"/>
            <w:hideMark/>
          </w:tcPr>
          <w:p w14:paraId="77188EB6" w14:textId="77777777" w:rsidR="008713E7" w:rsidRPr="00324820" w:rsidRDefault="008713E7" w:rsidP="008713E7">
            <w:pPr>
              <w:rPr>
                <w:rFonts w:cs="Arial"/>
                <w:sz w:val="20"/>
                <w:szCs w:val="20"/>
              </w:rPr>
            </w:pPr>
            <w:r w:rsidRPr="00324820">
              <w:rPr>
                <w:rFonts w:cs="Arial"/>
                <w:sz w:val="20"/>
                <w:szCs w:val="20"/>
              </w:rPr>
              <w:t>22.</w:t>
            </w:r>
          </w:p>
        </w:tc>
        <w:tc>
          <w:tcPr>
            <w:tcW w:w="5596" w:type="dxa"/>
            <w:vAlign w:val="center"/>
            <w:hideMark/>
          </w:tcPr>
          <w:p w14:paraId="0427C086" w14:textId="77777777" w:rsidR="008713E7" w:rsidRPr="00324820" w:rsidRDefault="008713E7" w:rsidP="008713E7">
            <w:pPr>
              <w:rPr>
                <w:rFonts w:cs="Arial"/>
                <w:sz w:val="20"/>
                <w:szCs w:val="20"/>
              </w:rPr>
            </w:pPr>
            <w:r w:rsidRPr="00324820">
              <w:rPr>
                <w:rFonts w:cs="Arial"/>
                <w:sz w:val="20"/>
                <w:szCs w:val="20"/>
              </w:rPr>
              <w:t>Zdravstvena ustanova Ljekarna Bjelovar</w:t>
            </w:r>
          </w:p>
        </w:tc>
        <w:tc>
          <w:tcPr>
            <w:tcW w:w="1842" w:type="dxa"/>
            <w:vAlign w:val="center"/>
            <w:hideMark/>
          </w:tcPr>
          <w:p w14:paraId="04119772"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31EB9DD2"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64E27D00" w14:textId="77777777" w:rsidTr="001F3738">
        <w:trPr>
          <w:trHeight w:val="288"/>
          <w:jc w:val="center"/>
        </w:trPr>
        <w:tc>
          <w:tcPr>
            <w:tcW w:w="495" w:type="dxa"/>
            <w:vAlign w:val="center"/>
            <w:hideMark/>
          </w:tcPr>
          <w:p w14:paraId="56AC0DBF" w14:textId="77777777" w:rsidR="008713E7" w:rsidRPr="00324820" w:rsidRDefault="008713E7" w:rsidP="008713E7">
            <w:pPr>
              <w:rPr>
                <w:rFonts w:cs="Arial"/>
                <w:sz w:val="20"/>
                <w:szCs w:val="20"/>
              </w:rPr>
            </w:pPr>
            <w:r w:rsidRPr="00324820">
              <w:rPr>
                <w:rFonts w:cs="Arial"/>
                <w:sz w:val="20"/>
                <w:szCs w:val="20"/>
              </w:rPr>
              <w:lastRenderedPageBreak/>
              <w:t>23.</w:t>
            </w:r>
          </w:p>
        </w:tc>
        <w:tc>
          <w:tcPr>
            <w:tcW w:w="5596" w:type="dxa"/>
            <w:vAlign w:val="center"/>
            <w:hideMark/>
          </w:tcPr>
          <w:p w14:paraId="21982EA2" w14:textId="77777777" w:rsidR="008713E7" w:rsidRPr="00324820" w:rsidRDefault="008713E7" w:rsidP="008713E7">
            <w:pPr>
              <w:rPr>
                <w:rFonts w:cs="Arial"/>
                <w:sz w:val="20"/>
                <w:szCs w:val="20"/>
              </w:rPr>
            </w:pPr>
            <w:r w:rsidRPr="00324820">
              <w:rPr>
                <w:rFonts w:cs="Arial"/>
                <w:sz w:val="20"/>
                <w:szCs w:val="20"/>
              </w:rPr>
              <w:t>Zdravstvena ustanova Ljekarna Dubrovnik</w:t>
            </w:r>
          </w:p>
        </w:tc>
        <w:tc>
          <w:tcPr>
            <w:tcW w:w="1842" w:type="dxa"/>
            <w:vAlign w:val="center"/>
            <w:hideMark/>
          </w:tcPr>
          <w:p w14:paraId="6641B2F3"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017AF3AA"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5C7E23A0" w14:textId="77777777" w:rsidTr="001F3738">
        <w:trPr>
          <w:trHeight w:val="288"/>
          <w:jc w:val="center"/>
        </w:trPr>
        <w:tc>
          <w:tcPr>
            <w:tcW w:w="495" w:type="dxa"/>
            <w:vAlign w:val="center"/>
            <w:hideMark/>
          </w:tcPr>
          <w:p w14:paraId="5FE24456" w14:textId="77777777" w:rsidR="008713E7" w:rsidRPr="00324820" w:rsidRDefault="008713E7" w:rsidP="008713E7">
            <w:pPr>
              <w:rPr>
                <w:rFonts w:cs="Arial"/>
                <w:sz w:val="20"/>
                <w:szCs w:val="20"/>
              </w:rPr>
            </w:pPr>
            <w:r w:rsidRPr="00324820">
              <w:rPr>
                <w:rFonts w:cs="Arial"/>
                <w:sz w:val="20"/>
                <w:szCs w:val="20"/>
              </w:rPr>
              <w:t>24.</w:t>
            </w:r>
          </w:p>
        </w:tc>
        <w:tc>
          <w:tcPr>
            <w:tcW w:w="5596" w:type="dxa"/>
            <w:vAlign w:val="center"/>
            <w:hideMark/>
          </w:tcPr>
          <w:p w14:paraId="06648CA9" w14:textId="77777777" w:rsidR="008713E7" w:rsidRPr="00324820" w:rsidRDefault="008713E7" w:rsidP="008713E7">
            <w:pPr>
              <w:rPr>
                <w:rFonts w:cs="Arial"/>
                <w:sz w:val="20"/>
                <w:szCs w:val="20"/>
              </w:rPr>
            </w:pPr>
            <w:r w:rsidRPr="00324820">
              <w:rPr>
                <w:rFonts w:cs="Arial"/>
                <w:sz w:val="20"/>
                <w:szCs w:val="20"/>
              </w:rPr>
              <w:t>Zlatna luka Sukošan d.o.o.</w:t>
            </w:r>
          </w:p>
        </w:tc>
        <w:tc>
          <w:tcPr>
            <w:tcW w:w="1842" w:type="dxa"/>
            <w:vAlign w:val="center"/>
            <w:hideMark/>
          </w:tcPr>
          <w:p w14:paraId="5A74D4B5" w14:textId="77777777" w:rsidR="008713E7" w:rsidRPr="00324820" w:rsidRDefault="008713E7" w:rsidP="008713E7">
            <w:pPr>
              <w:jc w:val="center"/>
              <w:rPr>
                <w:rFonts w:cs="Arial"/>
                <w:sz w:val="20"/>
                <w:szCs w:val="20"/>
              </w:rPr>
            </w:pPr>
            <w:r w:rsidRPr="00324820">
              <w:rPr>
                <w:rFonts w:cs="Arial"/>
                <w:sz w:val="20"/>
                <w:szCs w:val="20"/>
              </w:rPr>
              <w:t>uvjetno</w:t>
            </w:r>
          </w:p>
        </w:tc>
        <w:tc>
          <w:tcPr>
            <w:tcW w:w="1843" w:type="dxa"/>
            <w:vAlign w:val="center"/>
            <w:hideMark/>
          </w:tcPr>
          <w:p w14:paraId="4F110F20" w14:textId="77777777" w:rsidR="008713E7" w:rsidRPr="00324820" w:rsidRDefault="008713E7" w:rsidP="008713E7">
            <w:pPr>
              <w:jc w:val="center"/>
              <w:rPr>
                <w:rFonts w:cs="Arial"/>
                <w:sz w:val="20"/>
                <w:szCs w:val="20"/>
              </w:rPr>
            </w:pPr>
            <w:r w:rsidRPr="00324820">
              <w:rPr>
                <w:rFonts w:cs="Arial"/>
                <w:sz w:val="20"/>
                <w:szCs w:val="20"/>
              </w:rPr>
              <w:t>uvjetno</w:t>
            </w:r>
          </w:p>
        </w:tc>
      </w:tr>
      <w:tr w:rsidR="008713E7" w:rsidRPr="00324820" w14:paraId="51405C49" w14:textId="77777777" w:rsidTr="0099732B">
        <w:trPr>
          <w:trHeight w:val="737"/>
          <w:jc w:val="center"/>
        </w:trPr>
        <w:tc>
          <w:tcPr>
            <w:tcW w:w="6091" w:type="dxa"/>
            <w:gridSpan w:val="2"/>
            <w:shd w:val="clear" w:color="auto" w:fill="D9D9D9" w:themeFill="background1" w:themeFillShade="D9"/>
            <w:vAlign w:val="center"/>
            <w:hideMark/>
          </w:tcPr>
          <w:p w14:paraId="6E29ABA1" w14:textId="77777777" w:rsidR="008713E7" w:rsidRPr="00324820" w:rsidRDefault="008713E7" w:rsidP="008713E7">
            <w:pPr>
              <w:rPr>
                <w:rFonts w:cs="Arial"/>
                <w:b/>
                <w:sz w:val="20"/>
                <w:szCs w:val="20"/>
              </w:rPr>
            </w:pPr>
            <w:r w:rsidRPr="00324820">
              <w:rPr>
                <w:rFonts w:cs="Arial"/>
                <w:b/>
                <w:sz w:val="20"/>
                <w:szCs w:val="20"/>
              </w:rPr>
              <w:t>REVIZIJE USKLAĐENOSTI</w:t>
            </w:r>
          </w:p>
        </w:tc>
        <w:tc>
          <w:tcPr>
            <w:tcW w:w="3685" w:type="dxa"/>
            <w:gridSpan w:val="2"/>
            <w:shd w:val="clear" w:color="auto" w:fill="D9D9D9" w:themeFill="background1" w:themeFillShade="D9"/>
            <w:vAlign w:val="center"/>
            <w:hideMark/>
          </w:tcPr>
          <w:p w14:paraId="4FAA3F04" w14:textId="77777777" w:rsidR="008713E7" w:rsidRPr="00324820" w:rsidRDefault="008713E7" w:rsidP="008713E7">
            <w:pPr>
              <w:jc w:val="center"/>
              <w:rPr>
                <w:rFonts w:cs="Arial"/>
                <w:b/>
                <w:sz w:val="20"/>
                <w:szCs w:val="20"/>
              </w:rPr>
            </w:pPr>
            <w:r w:rsidRPr="00324820">
              <w:rPr>
                <w:rFonts w:cs="Arial"/>
                <w:b/>
                <w:sz w:val="20"/>
                <w:szCs w:val="20"/>
              </w:rPr>
              <w:t>izraženo mišljenje / dana ocjena</w:t>
            </w:r>
          </w:p>
        </w:tc>
      </w:tr>
      <w:tr w:rsidR="008713E7" w:rsidRPr="00324820" w14:paraId="61B63C72" w14:textId="77777777" w:rsidTr="001F3738">
        <w:trPr>
          <w:trHeight w:val="288"/>
          <w:jc w:val="center"/>
        </w:trPr>
        <w:tc>
          <w:tcPr>
            <w:tcW w:w="495" w:type="dxa"/>
            <w:vAlign w:val="center"/>
            <w:hideMark/>
          </w:tcPr>
          <w:p w14:paraId="2D214293" w14:textId="77777777" w:rsidR="008713E7" w:rsidRPr="00324820" w:rsidRDefault="008713E7" w:rsidP="008713E7">
            <w:pPr>
              <w:rPr>
                <w:rFonts w:cs="Arial"/>
                <w:sz w:val="20"/>
                <w:szCs w:val="20"/>
              </w:rPr>
            </w:pPr>
            <w:r w:rsidRPr="00324820">
              <w:rPr>
                <w:rFonts w:cs="Arial"/>
                <w:sz w:val="20"/>
                <w:szCs w:val="20"/>
              </w:rPr>
              <w:t>1.</w:t>
            </w:r>
          </w:p>
        </w:tc>
        <w:tc>
          <w:tcPr>
            <w:tcW w:w="5596" w:type="dxa"/>
            <w:vAlign w:val="center"/>
            <w:hideMark/>
          </w:tcPr>
          <w:p w14:paraId="7003C403" w14:textId="77777777" w:rsidR="008713E7" w:rsidRPr="00324820" w:rsidRDefault="008713E7" w:rsidP="008713E7">
            <w:pPr>
              <w:rPr>
                <w:rFonts w:cs="Arial"/>
                <w:sz w:val="20"/>
                <w:szCs w:val="20"/>
              </w:rPr>
            </w:pPr>
            <w:r w:rsidRPr="00324820">
              <w:rPr>
                <w:rFonts w:cs="Arial"/>
                <w:sz w:val="20"/>
                <w:szCs w:val="20"/>
              </w:rPr>
              <w:t>Gradsko stambeno komunalno gospodarstvo d.o.o.</w:t>
            </w:r>
          </w:p>
        </w:tc>
        <w:tc>
          <w:tcPr>
            <w:tcW w:w="3685" w:type="dxa"/>
            <w:gridSpan w:val="2"/>
            <w:vAlign w:val="center"/>
            <w:hideMark/>
          </w:tcPr>
          <w:p w14:paraId="5B839349" w14:textId="77777777" w:rsidR="008713E7" w:rsidRPr="00324820" w:rsidRDefault="008713E7" w:rsidP="008713E7">
            <w:pPr>
              <w:jc w:val="center"/>
              <w:rPr>
                <w:rFonts w:cs="Arial"/>
                <w:sz w:val="20"/>
                <w:szCs w:val="20"/>
              </w:rPr>
            </w:pPr>
            <w:r w:rsidRPr="00324820">
              <w:rPr>
                <w:rFonts w:cs="Arial"/>
                <w:sz w:val="20"/>
                <w:szCs w:val="20"/>
              </w:rPr>
              <w:t>uvjetno mišljenje</w:t>
            </w:r>
          </w:p>
        </w:tc>
      </w:tr>
      <w:tr w:rsidR="008713E7" w:rsidRPr="00324820" w14:paraId="026B216C" w14:textId="77777777" w:rsidTr="001F3738">
        <w:trPr>
          <w:trHeight w:val="288"/>
          <w:jc w:val="center"/>
        </w:trPr>
        <w:tc>
          <w:tcPr>
            <w:tcW w:w="495" w:type="dxa"/>
            <w:vAlign w:val="center"/>
            <w:hideMark/>
          </w:tcPr>
          <w:p w14:paraId="2739D4F5" w14:textId="77777777" w:rsidR="008713E7" w:rsidRPr="00324820" w:rsidRDefault="008713E7" w:rsidP="008713E7">
            <w:pPr>
              <w:rPr>
                <w:rFonts w:cs="Arial"/>
                <w:sz w:val="20"/>
                <w:szCs w:val="20"/>
              </w:rPr>
            </w:pPr>
            <w:r w:rsidRPr="00324820">
              <w:rPr>
                <w:rFonts w:cs="Arial"/>
                <w:sz w:val="20"/>
                <w:szCs w:val="20"/>
              </w:rPr>
              <w:t>2.</w:t>
            </w:r>
          </w:p>
        </w:tc>
        <w:tc>
          <w:tcPr>
            <w:tcW w:w="5596" w:type="dxa"/>
            <w:vAlign w:val="center"/>
            <w:hideMark/>
          </w:tcPr>
          <w:p w14:paraId="70AB71EC" w14:textId="77777777" w:rsidR="008713E7" w:rsidRPr="00324820" w:rsidRDefault="008713E7" w:rsidP="008713E7">
            <w:pPr>
              <w:rPr>
                <w:rFonts w:cs="Arial"/>
                <w:sz w:val="20"/>
                <w:szCs w:val="20"/>
              </w:rPr>
            </w:pPr>
            <w:r w:rsidRPr="00324820">
              <w:rPr>
                <w:rFonts w:cs="Arial"/>
                <w:sz w:val="20"/>
                <w:szCs w:val="20"/>
              </w:rPr>
              <w:t>Državne nekretnine d.o.o.</w:t>
            </w:r>
          </w:p>
        </w:tc>
        <w:tc>
          <w:tcPr>
            <w:tcW w:w="3685" w:type="dxa"/>
            <w:gridSpan w:val="2"/>
            <w:vAlign w:val="center"/>
            <w:hideMark/>
          </w:tcPr>
          <w:p w14:paraId="7C3E7067" w14:textId="77777777" w:rsidR="008713E7" w:rsidRPr="00324820" w:rsidRDefault="008713E7" w:rsidP="008713E7">
            <w:pPr>
              <w:jc w:val="center"/>
              <w:rPr>
                <w:rFonts w:cs="Arial"/>
                <w:sz w:val="20"/>
                <w:szCs w:val="20"/>
              </w:rPr>
            </w:pPr>
            <w:r w:rsidRPr="00324820">
              <w:rPr>
                <w:rFonts w:cs="Arial"/>
                <w:sz w:val="20"/>
                <w:szCs w:val="20"/>
              </w:rPr>
              <w:t>uvjetno mišljenje</w:t>
            </w:r>
          </w:p>
        </w:tc>
      </w:tr>
      <w:tr w:rsidR="008713E7" w:rsidRPr="00324820" w14:paraId="04B511DE" w14:textId="77777777" w:rsidTr="001F3738">
        <w:trPr>
          <w:trHeight w:val="288"/>
          <w:jc w:val="center"/>
        </w:trPr>
        <w:tc>
          <w:tcPr>
            <w:tcW w:w="495" w:type="dxa"/>
            <w:vAlign w:val="center"/>
            <w:hideMark/>
          </w:tcPr>
          <w:p w14:paraId="62EDE567" w14:textId="77777777" w:rsidR="008713E7" w:rsidRPr="00324820" w:rsidRDefault="008713E7" w:rsidP="008713E7">
            <w:pPr>
              <w:rPr>
                <w:rFonts w:cs="Arial"/>
                <w:sz w:val="20"/>
                <w:szCs w:val="20"/>
              </w:rPr>
            </w:pPr>
            <w:r w:rsidRPr="00324820">
              <w:rPr>
                <w:rFonts w:cs="Arial"/>
                <w:sz w:val="20"/>
                <w:szCs w:val="20"/>
              </w:rPr>
              <w:t>3.</w:t>
            </w:r>
          </w:p>
        </w:tc>
        <w:tc>
          <w:tcPr>
            <w:tcW w:w="5596" w:type="dxa"/>
            <w:vAlign w:val="center"/>
            <w:hideMark/>
          </w:tcPr>
          <w:p w14:paraId="5B8690F6" w14:textId="77777777" w:rsidR="008713E7" w:rsidRPr="00324820" w:rsidRDefault="008713E7" w:rsidP="008713E7">
            <w:pPr>
              <w:rPr>
                <w:rFonts w:cs="Arial"/>
                <w:sz w:val="20"/>
                <w:szCs w:val="20"/>
              </w:rPr>
            </w:pPr>
            <w:r w:rsidRPr="00324820">
              <w:rPr>
                <w:rFonts w:cs="Arial"/>
                <w:sz w:val="20"/>
                <w:szCs w:val="20"/>
              </w:rPr>
              <w:t>Hrvatska Lutrija d.o.o.</w:t>
            </w:r>
          </w:p>
        </w:tc>
        <w:tc>
          <w:tcPr>
            <w:tcW w:w="3685" w:type="dxa"/>
            <w:gridSpan w:val="2"/>
            <w:vAlign w:val="center"/>
            <w:hideMark/>
          </w:tcPr>
          <w:p w14:paraId="54741777" w14:textId="77777777" w:rsidR="008713E7" w:rsidRPr="00324820" w:rsidRDefault="008713E7" w:rsidP="008713E7">
            <w:pPr>
              <w:jc w:val="center"/>
              <w:rPr>
                <w:rFonts w:cs="Arial"/>
                <w:sz w:val="20"/>
                <w:szCs w:val="20"/>
              </w:rPr>
            </w:pPr>
            <w:r w:rsidRPr="00324820">
              <w:rPr>
                <w:rFonts w:cs="Arial"/>
                <w:sz w:val="20"/>
                <w:szCs w:val="20"/>
              </w:rPr>
              <w:t>uvjetno mišljenje</w:t>
            </w:r>
          </w:p>
        </w:tc>
      </w:tr>
      <w:tr w:rsidR="008713E7" w:rsidRPr="00324820" w14:paraId="7BC643C4" w14:textId="77777777" w:rsidTr="001F3738">
        <w:trPr>
          <w:trHeight w:val="288"/>
          <w:jc w:val="center"/>
        </w:trPr>
        <w:tc>
          <w:tcPr>
            <w:tcW w:w="495" w:type="dxa"/>
            <w:vAlign w:val="center"/>
            <w:hideMark/>
          </w:tcPr>
          <w:p w14:paraId="317B18C3" w14:textId="77777777" w:rsidR="008713E7" w:rsidRPr="00324820" w:rsidRDefault="008713E7" w:rsidP="008713E7">
            <w:pPr>
              <w:rPr>
                <w:rFonts w:cs="Arial"/>
                <w:sz w:val="20"/>
                <w:szCs w:val="20"/>
              </w:rPr>
            </w:pPr>
            <w:r w:rsidRPr="00324820">
              <w:rPr>
                <w:rFonts w:cs="Arial"/>
                <w:sz w:val="20"/>
                <w:szCs w:val="20"/>
              </w:rPr>
              <w:t xml:space="preserve">4. </w:t>
            </w:r>
          </w:p>
        </w:tc>
        <w:tc>
          <w:tcPr>
            <w:tcW w:w="5596" w:type="dxa"/>
            <w:vAlign w:val="center"/>
            <w:hideMark/>
          </w:tcPr>
          <w:p w14:paraId="5A71C3A2" w14:textId="77777777" w:rsidR="008713E7" w:rsidRPr="00324820" w:rsidRDefault="008713E7" w:rsidP="008713E7">
            <w:pPr>
              <w:rPr>
                <w:rFonts w:cs="Arial"/>
                <w:sz w:val="20"/>
                <w:szCs w:val="20"/>
              </w:rPr>
            </w:pPr>
            <w:r w:rsidRPr="00324820">
              <w:rPr>
                <w:rFonts w:cs="Arial"/>
                <w:sz w:val="20"/>
                <w:szCs w:val="20"/>
              </w:rPr>
              <w:t>Hrvatska agencija za nadzor financijskih usluga</w:t>
            </w:r>
          </w:p>
        </w:tc>
        <w:tc>
          <w:tcPr>
            <w:tcW w:w="3685" w:type="dxa"/>
            <w:gridSpan w:val="2"/>
            <w:vAlign w:val="center"/>
            <w:hideMark/>
          </w:tcPr>
          <w:p w14:paraId="596B130A" w14:textId="77777777" w:rsidR="008713E7" w:rsidRPr="00324820" w:rsidRDefault="008713E7" w:rsidP="008713E7">
            <w:pPr>
              <w:jc w:val="center"/>
              <w:rPr>
                <w:rFonts w:cs="Arial"/>
                <w:sz w:val="20"/>
                <w:szCs w:val="20"/>
              </w:rPr>
            </w:pPr>
            <w:r w:rsidRPr="00324820">
              <w:rPr>
                <w:rFonts w:cs="Arial"/>
                <w:sz w:val="20"/>
                <w:szCs w:val="20"/>
              </w:rPr>
              <w:t>usklađeno, pri čemu su potrebna određena poboljšanja (dana ocjena)</w:t>
            </w:r>
          </w:p>
        </w:tc>
      </w:tr>
      <w:tr w:rsidR="008713E7" w:rsidRPr="00324820" w14:paraId="04498EA2" w14:textId="77777777" w:rsidTr="0099732B">
        <w:trPr>
          <w:trHeight w:val="737"/>
          <w:jc w:val="center"/>
        </w:trPr>
        <w:tc>
          <w:tcPr>
            <w:tcW w:w="6091" w:type="dxa"/>
            <w:gridSpan w:val="2"/>
            <w:shd w:val="clear" w:color="auto" w:fill="D9D9D9" w:themeFill="background1" w:themeFillShade="D9"/>
            <w:vAlign w:val="center"/>
            <w:hideMark/>
          </w:tcPr>
          <w:p w14:paraId="0022ADF1" w14:textId="77777777" w:rsidR="008713E7" w:rsidRPr="00324820" w:rsidRDefault="008713E7" w:rsidP="008713E7">
            <w:pPr>
              <w:rPr>
                <w:rFonts w:cs="Arial"/>
                <w:b/>
                <w:sz w:val="20"/>
                <w:szCs w:val="20"/>
              </w:rPr>
            </w:pPr>
            <w:r w:rsidRPr="00324820">
              <w:rPr>
                <w:rFonts w:cs="Arial"/>
                <w:b/>
                <w:sz w:val="20"/>
                <w:szCs w:val="20"/>
              </w:rPr>
              <w:t>REVIZIJE UČINKOVITOSTI</w:t>
            </w:r>
          </w:p>
        </w:tc>
        <w:tc>
          <w:tcPr>
            <w:tcW w:w="3685" w:type="dxa"/>
            <w:gridSpan w:val="2"/>
            <w:shd w:val="clear" w:color="auto" w:fill="D9D9D9" w:themeFill="background1" w:themeFillShade="D9"/>
            <w:vAlign w:val="center"/>
            <w:hideMark/>
          </w:tcPr>
          <w:p w14:paraId="4D77B437" w14:textId="77777777" w:rsidR="008713E7" w:rsidRPr="00324820" w:rsidRDefault="008713E7" w:rsidP="008713E7">
            <w:pPr>
              <w:jc w:val="center"/>
              <w:rPr>
                <w:rFonts w:cs="Arial"/>
                <w:b/>
                <w:sz w:val="20"/>
                <w:szCs w:val="20"/>
              </w:rPr>
            </w:pPr>
            <w:r w:rsidRPr="00324820">
              <w:rPr>
                <w:rFonts w:cs="Arial"/>
                <w:b/>
                <w:sz w:val="20"/>
                <w:szCs w:val="20"/>
              </w:rPr>
              <w:t>dana ocjena</w:t>
            </w:r>
          </w:p>
        </w:tc>
      </w:tr>
      <w:tr w:rsidR="008713E7" w:rsidRPr="00324820" w14:paraId="2B10C49B" w14:textId="77777777" w:rsidTr="001F3738">
        <w:trPr>
          <w:trHeight w:val="288"/>
          <w:jc w:val="center"/>
        </w:trPr>
        <w:tc>
          <w:tcPr>
            <w:tcW w:w="495" w:type="dxa"/>
            <w:shd w:val="clear" w:color="auto" w:fill="D9D9D9" w:themeFill="background1" w:themeFillShade="D9"/>
            <w:vAlign w:val="center"/>
            <w:hideMark/>
          </w:tcPr>
          <w:p w14:paraId="14F186E4" w14:textId="77777777" w:rsidR="008713E7" w:rsidRPr="000C1EDF" w:rsidRDefault="008713E7" w:rsidP="008713E7">
            <w:pPr>
              <w:rPr>
                <w:rFonts w:cs="Arial"/>
                <w:b/>
                <w:sz w:val="20"/>
                <w:szCs w:val="20"/>
              </w:rPr>
            </w:pPr>
            <w:r w:rsidRPr="000C1EDF">
              <w:rPr>
                <w:rFonts w:cs="Arial"/>
                <w:b/>
                <w:sz w:val="20"/>
                <w:szCs w:val="20"/>
              </w:rPr>
              <w:t>I.</w:t>
            </w:r>
          </w:p>
        </w:tc>
        <w:tc>
          <w:tcPr>
            <w:tcW w:w="9281" w:type="dxa"/>
            <w:gridSpan w:val="3"/>
            <w:shd w:val="clear" w:color="auto" w:fill="D9D9D9" w:themeFill="background1" w:themeFillShade="D9"/>
            <w:vAlign w:val="center"/>
            <w:hideMark/>
          </w:tcPr>
          <w:p w14:paraId="10D0887C" w14:textId="77777777" w:rsidR="008713E7" w:rsidRPr="000C1EDF" w:rsidRDefault="008713E7" w:rsidP="008713E7">
            <w:pPr>
              <w:rPr>
                <w:rFonts w:cs="Arial"/>
                <w:b/>
                <w:sz w:val="20"/>
                <w:szCs w:val="20"/>
              </w:rPr>
            </w:pPr>
            <w:r w:rsidRPr="000C1EDF">
              <w:rPr>
                <w:rFonts w:cs="Arial"/>
                <w:b/>
                <w:sz w:val="20"/>
                <w:szCs w:val="20"/>
              </w:rPr>
              <w:t xml:space="preserve">Upravljanje i raspolaganje poslovnim prostorima </w:t>
            </w:r>
            <w:r>
              <w:rPr>
                <w:rFonts w:cs="Arial"/>
                <w:b/>
                <w:sz w:val="20"/>
                <w:szCs w:val="20"/>
              </w:rPr>
              <w:t>gradovima</w:t>
            </w:r>
          </w:p>
        </w:tc>
      </w:tr>
      <w:tr w:rsidR="008713E7" w:rsidRPr="00324820" w14:paraId="541BCCFC" w14:textId="77777777" w:rsidTr="001F3738">
        <w:trPr>
          <w:cantSplit/>
          <w:trHeight w:val="397"/>
          <w:jc w:val="center"/>
        </w:trPr>
        <w:tc>
          <w:tcPr>
            <w:tcW w:w="495" w:type="dxa"/>
            <w:vAlign w:val="center"/>
            <w:hideMark/>
          </w:tcPr>
          <w:p w14:paraId="3D5333B1" w14:textId="77777777" w:rsidR="008713E7" w:rsidRPr="00324820" w:rsidRDefault="008713E7" w:rsidP="008713E7">
            <w:pPr>
              <w:rPr>
                <w:rFonts w:cs="Arial"/>
                <w:sz w:val="20"/>
                <w:szCs w:val="20"/>
              </w:rPr>
            </w:pPr>
            <w:r w:rsidRPr="00324820">
              <w:rPr>
                <w:rFonts w:cs="Arial"/>
                <w:sz w:val="20"/>
                <w:szCs w:val="20"/>
              </w:rPr>
              <w:t>1.</w:t>
            </w:r>
          </w:p>
        </w:tc>
        <w:tc>
          <w:tcPr>
            <w:tcW w:w="5596" w:type="dxa"/>
            <w:vAlign w:val="center"/>
            <w:hideMark/>
          </w:tcPr>
          <w:p w14:paraId="3BF2EEC8" w14:textId="77777777" w:rsidR="008713E7" w:rsidRPr="00324820" w:rsidRDefault="008713E7" w:rsidP="008713E7">
            <w:pPr>
              <w:rPr>
                <w:rFonts w:cs="Arial"/>
                <w:sz w:val="20"/>
                <w:szCs w:val="20"/>
              </w:rPr>
            </w:pPr>
            <w:r w:rsidRPr="00324820">
              <w:rPr>
                <w:rFonts w:cs="Arial"/>
                <w:sz w:val="20"/>
                <w:szCs w:val="20"/>
              </w:rPr>
              <w:t>Bjelovar</w:t>
            </w:r>
          </w:p>
        </w:tc>
        <w:tc>
          <w:tcPr>
            <w:tcW w:w="3685" w:type="dxa"/>
            <w:gridSpan w:val="2"/>
            <w:vAlign w:val="center"/>
            <w:hideMark/>
          </w:tcPr>
          <w:p w14:paraId="71BF548E" w14:textId="77777777" w:rsidR="008713E7" w:rsidRPr="00324820" w:rsidRDefault="008713E7" w:rsidP="008713E7">
            <w:pPr>
              <w:jc w:val="center"/>
              <w:rPr>
                <w:rFonts w:cs="Arial"/>
                <w:sz w:val="20"/>
                <w:szCs w:val="20"/>
              </w:rPr>
            </w:pPr>
            <w:r w:rsidRPr="00324820">
              <w:rPr>
                <w:rFonts w:cs="Arial"/>
                <w:sz w:val="20"/>
                <w:szCs w:val="20"/>
              </w:rPr>
              <w:t>učinkovito, pri čemu su potrebna određena poboljšanja</w:t>
            </w:r>
          </w:p>
        </w:tc>
      </w:tr>
      <w:tr w:rsidR="008713E7" w:rsidRPr="00324820" w14:paraId="359DBAB8" w14:textId="77777777" w:rsidTr="001F3738">
        <w:trPr>
          <w:cantSplit/>
          <w:trHeight w:val="397"/>
          <w:jc w:val="center"/>
        </w:trPr>
        <w:tc>
          <w:tcPr>
            <w:tcW w:w="495" w:type="dxa"/>
            <w:vAlign w:val="center"/>
            <w:hideMark/>
          </w:tcPr>
          <w:p w14:paraId="4993D40F" w14:textId="77777777" w:rsidR="008713E7" w:rsidRPr="00324820" w:rsidRDefault="008713E7" w:rsidP="008713E7">
            <w:pPr>
              <w:rPr>
                <w:rFonts w:cs="Arial"/>
                <w:sz w:val="20"/>
                <w:szCs w:val="20"/>
              </w:rPr>
            </w:pPr>
            <w:r w:rsidRPr="00324820">
              <w:rPr>
                <w:rFonts w:cs="Arial"/>
                <w:sz w:val="20"/>
                <w:szCs w:val="20"/>
              </w:rPr>
              <w:t>2.</w:t>
            </w:r>
          </w:p>
        </w:tc>
        <w:tc>
          <w:tcPr>
            <w:tcW w:w="5596" w:type="dxa"/>
            <w:vAlign w:val="center"/>
            <w:hideMark/>
          </w:tcPr>
          <w:p w14:paraId="473B2E99" w14:textId="77777777" w:rsidR="008713E7" w:rsidRPr="00324820" w:rsidRDefault="008713E7" w:rsidP="008713E7">
            <w:pPr>
              <w:rPr>
                <w:rFonts w:cs="Arial"/>
                <w:sz w:val="20"/>
                <w:szCs w:val="20"/>
              </w:rPr>
            </w:pPr>
            <w:r w:rsidRPr="00324820">
              <w:rPr>
                <w:rFonts w:cs="Arial"/>
                <w:sz w:val="20"/>
                <w:szCs w:val="20"/>
              </w:rPr>
              <w:t>Čakovec</w:t>
            </w:r>
          </w:p>
        </w:tc>
        <w:tc>
          <w:tcPr>
            <w:tcW w:w="3685" w:type="dxa"/>
            <w:gridSpan w:val="2"/>
            <w:vAlign w:val="center"/>
            <w:hideMark/>
          </w:tcPr>
          <w:p w14:paraId="447773AE" w14:textId="77777777" w:rsidR="008713E7" w:rsidRPr="00324820" w:rsidRDefault="008713E7" w:rsidP="008713E7">
            <w:pPr>
              <w:jc w:val="center"/>
              <w:rPr>
                <w:rFonts w:cs="Arial"/>
                <w:sz w:val="20"/>
                <w:szCs w:val="20"/>
              </w:rPr>
            </w:pPr>
            <w:r w:rsidRPr="00324820">
              <w:rPr>
                <w:rFonts w:cs="Arial"/>
                <w:sz w:val="20"/>
                <w:szCs w:val="20"/>
              </w:rPr>
              <w:t>učinkovito, pri čemu su potrebna određena poboljšanja</w:t>
            </w:r>
          </w:p>
        </w:tc>
      </w:tr>
      <w:tr w:rsidR="008713E7" w:rsidRPr="00324820" w14:paraId="679627E4" w14:textId="77777777" w:rsidTr="001F3738">
        <w:trPr>
          <w:cantSplit/>
          <w:trHeight w:val="397"/>
          <w:jc w:val="center"/>
        </w:trPr>
        <w:tc>
          <w:tcPr>
            <w:tcW w:w="495" w:type="dxa"/>
            <w:vAlign w:val="center"/>
            <w:hideMark/>
          </w:tcPr>
          <w:p w14:paraId="7F10FCE2" w14:textId="77777777" w:rsidR="008713E7" w:rsidRPr="00324820" w:rsidRDefault="008713E7" w:rsidP="008713E7">
            <w:pPr>
              <w:rPr>
                <w:rFonts w:cs="Arial"/>
                <w:sz w:val="20"/>
                <w:szCs w:val="20"/>
              </w:rPr>
            </w:pPr>
            <w:r w:rsidRPr="00324820">
              <w:rPr>
                <w:rFonts w:cs="Arial"/>
                <w:sz w:val="20"/>
                <w:szCs w:val="20"/>
              </w:rPr>
              <w:t>3.</w:t>
            </w:r>
          </w:p>
        </w:tc>
        <w:tc>
          <w:tcPr>
            <w:tcW w:w="5596" w:type="dxa"/>
            <w:vAlign w:val="center"/>
            <w:hideMark/>
          </w:tcPr>
          <w:p w14:paraId="49C2545A" w14:textId="77777777" w:rsidR="008713E7" w:rsidRPr="00324820" w:rsidRDefault="008713E7" w:rsidP="008713E7">
            <w:pPr>
              <w:rPr>
                <w:rFonts w:cs="Arial"/>
                <w:sz w:val="20"/>
                <w:szCs w:val="20"/>
              </w:rPr>
            </w:pPr>
            <w:r w:rsidRPr="00324820">
              <w:rPr>
                <w:rFonts w:cs="Arial"/>
                <w:sz w:val="20"/>
                <w:szCs w:val="20"/>
              </w:rPr>
              <w:t>Dubrovnik</w:t>
            </w:r>
          </w:p>
        </w:tc>
        <w:tc>
          <w:tcPr>
            <w:tcW w:w="3685" w:type="dxa"/>
            <w:gridSpan w:val="2"/>
            <w:vAlign w:val="center"/>
            <w:hideMark/>
          </w:tcPr>
          <w:p w14:paraId="3F2ACA0D" w14:textId="77777777" w:rsidR="008713E7" w:rsidRPr="00324820" w:rsidRDefault="008713E7" w:rsidP="008713E7">
            <w:pPr>
              <w:jc w:val="center"/>
              <w:rPr>
                <w:rFonts w:cs="Arial"/>
                <w:sz w:val="20"/>
                <w:szCs w:val="20"/>
              </w:rPr>
            </w:pPr>
            <w:r w:rsidRPr="00324820">
              <w:rPr>
                <w:rFonts w:cs="Arial"/>
                <w:sz w:val="20"/>
                <w:szCs w:val="20"/>
              </w:rPr>
              <w:t>učinkovito, pri čemu su potrebna određena poboljšanja</w:t>
            </w:r>
          </w:p>
        </w:tc>
      </w:tr>
      <w:tr w:rsidR="008713E7" w:rsidRPr="00324820" w14:paraId="6AC1626B" w14:textId="77777777" w:rsidTr="001F3738">
        <w:trPr>
          <w:cantSplit/>
          <w:trHeight w:val="397"/>
          <w:jc w:val="center"/>
        </w:trPr>
        <w:tc>
          <w:tcPr>
            <w:tcW w:w="495" w:type="dxa"/>
            <w:vAlign w:val="center"/>
            <w:hideMark/>
          </w:tcPr>
          <w:p w14:paraId="06854780" w14:textId="77777777" w:rsidR="008713E7" w:rsidRPr="00324820" w:rsidRDefault="008713E7" w:rsidP="008713E7">
            <w:pPr>
              <w:rPr>
                <w:rFonts w:cs="Arial"/>
                <w:sz w:val="20"/>
                <w:szCs w:val="20"/>
              </w:rPr>
            </w:pPr>
            <w:r w:rsidRPr="00324820">
              <w:rPr>
                <w:rFonts w:cs="Arial"/>
                <w:sz w:val="20"/>
                <w:szCs w:val="20"/>
              </w:rPr>
              <w:t>4.</w:t>
            </w:r>
          </w:p>
        </w:tc>
        <w:tc>
          <w:tcPr>
            <w:tcW w:w="5596" w:type="dxa"/>
            <w:vAlign w:val="center"/>
            <w:hideMark/>
          </w:tcPr>
          <w:p w14:paraId="42149BAB" w14:textId="77777777" w:rsidR="008713E7" w:rsidRPr="00324820" w:rsidRDefault="008713E7" w:rsidP="008713E7">
            <w:pPr>
              <w:rPr>
                <w:rFonts w:cs="Arial"/>
                <w:sz w:val="20"/>
                <w:szCs w:val="20"/>
              </w:rPr>
            </w:pPr>
            <w:r w:rsidRPr="00324820">
              <w:rPr>
                <w:rFonts w:cs="Arial"/>
                <w:sz w:val="20"/>
                <w:szCs w:val="20"/>
              </w:rPr>
              <w:t>Gospić</w:t>
            </w:r>
          </w:p>
        </w:tc>
        <w:tc>
          <w:tcPr>
            <w:tcW w:w="3685" w:type="dxa"/>
            <w:gridSpan w:val="2"/>
            <w:vAlign w:val="center"/>
            <w:hideMark/>
          </w:tcPr>
          <w:p w14:paraId="2BA4C25E" w14:textId="77777777" w:rsidR="008713E7" w:rsidRPr="00324820" w:rsidRDefault="008713E7" w:rsidP="008713E7">
            <w:pPr>
              <w:jc w:val="center"/>
              <w:rPr>
                <w:rFonts w:cs="Arial"/>
                <w:sz w:val="20"/>
                <w:szCs w:val="20"/>
              </w:rPr>
            </w:pPr>
            <w:r w:rsidRPr="00324820">
              <w:rPr>
                <w:rFonts w:cs="Arial"/>
                <w:sz w:val="20"/>
                <w:szCs w:val="20"/>
              </w:rPr>
              <w:t>učinkovito, pri čemu su potrebna određena poboljšanja</w:t>
            </w:r>
          </w:p>
        </w:tc>
      </w:tr>
      <w:tr w:rsidR="008713E7" w:rsidRPr="00324820" w14:paraId="728BA90D" w14:textId="77777777" w:rsidTr="001F3738">
        <w:trPr>
          <w:cantSplit/>
          <w:trHeight w:val="397"/>
          <w:jc w:val="center"/>
        </w:trPr>
        <w:tc>
          <w:tcPr>
            <w:tcW w:w="495" w:type="dxa"/>
            <w:vAlign w:val="center"/>
            <w:hideMark/>
          </w:tcPr>
          <w:p w14:paraId="17E98DA6" w14:textId="77777777" w:rsidR="008713E7" w:rsidRPr="00324820" w:rsidRDefault="008713E7" w:rsidP="008713E7">
            <w:pPr>
              <w:rPr>
                <w:rFonts w:cs="Arial"/>
                <w:sz w:val="20"/>
                <w:szCs w:val="20"/>
              </w:rPr>
            </w:pPr>
            <w:r w:rsidRPr="00324820">
              <w:rPr>
                <w:rFonts w:cs="Arial"/>
                <w:sz w:val="20"/>
                <w:szCs w:val="20"/>
              </w:rPr>
              <w:t>5.</w:t>
            </w:r>
          </w:p>
        </w:tc>
        <w:tc>
          <w:tcPr>
            <w:tcW w:w="5596" w:type="dxa"/>
            <w:vAlign w:val="center"/>
            <w:hideMark/>
          </w:tcPr>
          <w:p w14:paraId="75EBC68F" w14:textId="77777777" w:rsidR="008713E7" w:rsidRPr="00324820" w:rsidRDefault="008713E7" w:rsidP="008713E7">
            <w:pPr>
              <w:rPr>
                <w:rFonts w:cs="Arial"/>
                <w:sz w:val="20"/>
                <w:szCs w:val="20"/>
              </w:rPr>
            </w:pPr>
            <w:r w:rsidRPr="00324820">
              <w:rPr>
                <w:rFonts w:cs="Arial"/>
                <w:sz w:val="20"/>
                <w:szCs w:val="20"/>
              </w:rPr>
              <w:t>Karlovac</w:t>
            </w:r>
          </w:p>
        </w:tc>
        <w:tc>
          <w:tcPr>
            <w:tcW w:w="3685" w:type="dxa"/>
            <w:gridSpan w:val="2"/>
            <w:vAlign w:val="center"/>
            <w:hideMark/>
          </w:tcPr>
          <w:p w14:paraId="712D510F" w14:textId="77777777" w:rsidR="008713E7" w:rsidRPr="00324820" w:rsidRDefault="008713E7" w:rsidP="008713E7">
            <w:pPr>
              <w:jc w:val="center"/>
              <w:rPr>
                <w:rFonts w:cs="Arial"/>
                <w:sz w:val="20"/>
                <w:szCs w:val="20"/>
              </w:rPr>
            </w:pPr>
            <w:r w:rsidRPr="00324820">
              <w:rPr>
                <w:rFonts w:cs="Arial"/>
                <w:sz w:val="20"/>
                <w:szCs w:val="20"/>
              </w:rPr>
              <w:t>učinkovito, pri čemu su potrebna određena poboljšanja</w:t>
            </w:r>
          </w:p>
        </w:tc>
      </w:tr>
      <w:tr w:rsidR="008713E7" w:rsidRPr="00324820" w14:paraId="1AA0AC4B" w14:textId="77777777" w:rsidTr="001F3738">
        <w:trPr>
          <w:cantSplit/>
          <w:trHeight w:val="397"/>
          <w:jc w:val="center"/>
        </w:trPr>
        <w:tc>
          <w:tcPr>
            <w:tcW w:w="495" w:type="dxa"/>
            <w:vAlign w:val="center"/>
            <w:hideMark/>
          </w:tcPr>
          <w:p w14:paraId="72E15A9F" w14:textId="77777777" w:rsidR="008713E7" w:rsidRPr="00324820" w:rsidRDefault="008713E7" w:rsidP="008713E7">
            <w:pPr>
              <w:rPr>
                <w:rFonts w:cs="Arial"/>
                <w:sz w:val="20"/>
                <w:szCs w:val="20"/>
              </w:rPr>
            </w:pPr>
            <w:r w:rsidRPr="00324820">
              <w:rPr>
                <w:rFonts w:cs="Arial"/>
                <w:sz w:val="20"/>
                <w:szCs w:val="20"/>
              </w:rPr>
              <w:t>6.</w:t>
            </w:r>
          </w:p>
        </w:tc>
        <w:tc>
          <w:tcPr>
            <w:tcW w:w="5596" w:type="dxa"/>
            <w:vAlign w:val="center"/>
            <w:hideMark/>
          </w:tcPr>
          <w:p w14:paraId="4A5E6C30" w14:textId="77777777" w:rsidR="008713E7" w:rsidRPr="00324820" w:rsidRDefault="008713E7" w:rsidP="008713E7">
            <w:pPr>
              <w:rPr>
                <w:rFonts w:cs="Arial"/>
                <w:sz w:val="20"/>
                <w:szCs w:val="20"/>
              </w:rPr>
            </w:pPr>
            <w:r w:rsidRPr="00324820">
              <w:rPr>
                <w:rFonts w:cs="Arial"/>
                <w:sz w:val="20"/>
                <w:szCs w:val="20"/>
              </w:rPr>
              <w:t>Kaštela</w:t>
            </w:r>
          </w:p>
        </w:tc>
        <w:tc>
          <w:tcPr>
            <w:tcW w:w="3685" w:type="dxa"/>
            <w:gridSpan w:val="2"/>
            <w:vAlign w:val="center"/>
            <w:hideMark/>
          </w:tcPr>
          <w:p w14:paraId="236952F8" w14:textId="77777777" w:rsidR="008713E7" w:rsidRPr="00324820" w:rsidRDefault="008713E7" w:rsidP="008713E7">
            <w:pPr>
              <w:jc w:val="center"/>
              <w:rPr>
                <w:rFonts w:cs="Arial"/>
                <w:sz w:val="20"/>
                <w:szCs w:val="20"/>
              </w:rPr>
            </w:pPr>
            <w:r w:rsidRPr="00324820">
              <w:rPr>
                <w:rFonts w:cs="Arial"/>
                <w:sz w:val="20"/>
                <w:szCs w:val="20"/>
              </w:rPr>
              <w:t>učinkovito, pri čemu su potrebna određena poboljšanja</w:t>
            </w:r>
          </w:p>
        </w:tc>
      </w:tr>
      <w:tr w:rsidR="008713E7" w:rsidRPr="00324820" w14:paraId="0DBDDB25" w14:textId="77777777" w:rsidTr="000C1EDF">
        <w:trPr>
          <w:cantSplit/>
          <w:trHeight w:val="284"/>
          <w:jc w:val="center"/>
        </w:trPr>
        <w:tc>
          <w:tcPr>
            <w:tcW w:w="495" w:type="dxa"/>
            <w:vAlign w:val="center"/>
            <w:hideMark/>
          </w:tcPr>
          <w:p w14:paraId="20FE7591" w14:textId="77777777" w:rsidR="008713E7" w:rsidRPr="00324820" w:rsidRDefault="008713E7" w:rsidP="008713E7">
            <w:pPr>
              <w:rPr>
                <w:rFonts w:cs="Arial"/>
                <w:sz w:val="20"/>
                <w:szCs w:val="20"/>
              </w:rPr>
            </w:pPr>
            <w:r w:rsidRPr="00324820">
              <w:rPr>
                <w:rFonts w:cs="Arial"/>
                <w:sz w:val="20"/>
                <w:szCs w:val="20"/>
              </w:rPr>
              <w:t>7.</w:t>
            </w:r>
          </w:p>
        </w:tc>
        <w:tc>
          <w:tcPr>
            <w:tcW w:w="5596" w:type="dxa"/>
            <w:vAlign w:val="center"/>
            <w:hideMark/>
          </w:tcPr>
          <w:p w14:paraId="5CF0F79E" w14:textId="77777777" w:rsidR="008713E7" w:rsidRPr="00324820" w:rsidRDefault="008713E7" w:rsidP="008713E7">
            <w:pPr>
              <w:rPr>
                <w:rFonts w:cs="Arial"/>
                <w:sz w:val="20"/>
                <w:szCs w:val="20"/>
              </w:rPr>
            </w:pPr>
            <w:r w:rsidRPr="00324820">
              <w:rPr>
                <w:rFonts w:cs="Arial"/>
                <w:sz w:val="20"/>
                <w:szCs w:val="20"/>
              </w:rPr>
              <w:t>Koprivnica</w:t>
            </w:r>
          </w:p>
        </w:tc>
        <w:tc>
          <w:tcPr>
            <w:tcW w:w="3685" w:type="dxa"/>
            <w:gridSpan w:val="2"/>
            <w:vAlign w:val="center"/>
            <w:hideMark/>
          </w:tcPr>
          <w:p w14:paraId="23584E3A" w14:textId="77777777" w:rsidR="008713E7" w:rsidRPr="00324820" w:rsidRDefault="008713E7" w:rsidP="008713E7">
            <w:pPr>
              <w:jc w:val="center"/>
              <w:rPr>
                <w:rFonts w:cs="Arial"/>
                <w:sz w:val="20"/>
                <w:szCs w:val="20"/>
              </w:rPr>
            </w:pPr>
            <w:r w:rsidRPr="00324820">
              <w:rPr>
                <w:rFonts w:cs="Arial"/>
                <w:sz w:val="20"/>
                <w:szCs w:val="20"/>
              </w:rPr>
              <w:t>djelomično učinkovito</w:t>
            </w:r>
          </w:p>
        </w:tc>
      </w:tr>
      <w:tr w:rsidR="008713E7" w:rsidRPr="00324820" w14:paraId="2915E496" w14:textId="77777777" w:rsidTr="001F3738">
        <w:trPr>
          <w:cantSplit/>
          <w:trHeight w:val="397"/>
          <w:jc w:val="center"/>
        </w:trPr>
        <w:tc>
          <w:tcPr>
            <w:tcW w:w="495" w:type="dxa"/>
            <w:vAlign w:val="center"/>
            <w:hideMark/>
          </w:tcPr>
          <w:p w14:paraId="478CC646" w14:textId="77777777" w:rsidR="008713E7" w:rsidRPr="00324820" w:rsidRDefault="008713E7" w:rsidP="008713E7">
            <w:pPr>
              <w:rPr>
                <w:rFonts w:cs="Arial"/>
                <w:sz w:val="20"/>
                <w:szCs w:val="20"/>
              </w:rPr>
            </w:pPr>
            <w:r w:rsidRPr="00324820">
              <w:rPr>
                <w:rFonts w:cs="Arial"/>
                <w:sz w:val="20"/>
                <w:szCs w:val="20"/>
              </w:rPr>
              <w:t>8.</w:t>
            </w:r>
          </w:p>
        </w:tc>
        <w:tc>
          <w:tcPr>
            <w:tcW w:w="5596" w:type="dxa"/>
            <w:vAlign w:val="center"/>
            <w:hideMark/>
          </w:tcPr>
          <w:p w14:paraId="7E9F4F3B" w14:textId="77777777" w:rsidR="008713E7" w:rsidRPr="00324820" w:rsidRDefault="008713E7" w:rsidP="008713E7">
            <w:pPr>
              <w:rPr>
                <w:rFonts w:cs="Arial"/>
                <w:sz w:val="20"/>
                <w:szCs w:val="20"/>
              </w:rPr>
            </w:pPr>
            <w:r w:rsidRPr="00324820">
              <w:rPr>
                <w:rFonts w:cs="Arial"/>
                <w:sz w:val="20"/>
                <w:szCs w:val="20"/>
              </w:rPr>
              <w:t>Krapina</w:t>
            </w:r>
          </w:p>
        </w:tc>
        <w:tc>
          <w:tcPr>
            <w:tcW w:w="3685" w:type="dxa"/>
            <w:gridSpan w:val="2"/>
            <w:vAlign w:val="center"/>
            <w:hideMark/>
          </w:tcPr>
          <w:p w14:paraId="40AF888A" w14:textId="77777777" w:rsidR="008713E7" w:rsidRPr="00324820" w:rsidRDefault="008713E7" w:rsidP="008713E7">
            <w:pPr>
              <w:jc w:val="center"/>
              <w:rPr>
                <w:rFonts w:cs="Arial"/>
                <w:sz w:val="20"/>
                <w:szCs w:val="20"/>
              </w:rPr>
            </w:pPr>
            <w:r w:rsidRPr="00324820">
              <w:rPr>
                <w:rFonts w:cs="Arial"/>
                <w:sz w:val="20"/>
                <w:szCs w:val="20"/>
              </w:rPr>
              <w:t>učinkovito, pri čemu su potrebna određena poboljšanja</w:t>
            </w:r>
          </w:p>
        </w:tc>
      </w:tr>
      <w:tr w:rsidR="008713E7" w:rsidRPr="00324820" w14:paraId="62EA87E5" w14:textId="77777777" w:rsidTr="001F3738">
        <w:trPr>
          <w:cantSplit/>
          <w:trHeight w:val="397"/>
          <w:jc w:val="center"/>
        </w:trPr>
        <w:tc>
          <w:tcPr>
            <w:tcW w:w="495" w:type="dxa"/>
            <w:vAlign w:val="center"/>
            <w:hideMark/>
          </w:tcPr>
          <w:p w14:paraId="47EF08C9" w14:textId="77777777" w:rsidR="008713E7" w:rsidRPr="00324820" w:rsidRDefault="008713E7" w:rsidP="008713E7">
            <w:pPr>
              <w:rPr>
                <w:rFonts w:cs="Arial"/>
                <w:sz w:val="20"/>
                <w:szCs w:val="20"/>
              </w:rPr>
            </w:pPr>
            <w:r w:rsidRPr="00324820">
              <w:rPr>
                <w:rFonts w:cs="Arial"/>
                <w:sz w:val="20"/>
                <w:szCs w:val="20"/>
              </w:rPr>
              <w:t>9.</w:t>
            </w:r>
          </w:p>
        </w:tc>
        <w:tc>
          <w:tcPr>
            <w:tcW w:w="5596" w:type="dxa"/>
            <w:vAlign w:val="center"/>
            <w:hideMark/>
          </w:tcPr>
          <w:p w14:paraId="3830ECFF" w14:textId="77777777" w:rsidR="008713E7" w:rsidRPr="00324820" w:rsidRDefault="008713E7" w:rsidP="008713E7">
            <w:pPr>
              <w:rPr>
                <w:rFonts w:cs="Arial"/>
                <w:sz w:val="20"/>
                <w:szCs w:val="20"/>
              </w:rPr>
            </w:pPr>
            <w:r w:rsidRPr="00324820">
              <w:rPr>
                <w:rFonts w:cs="Arial"/>
                <w:sz w:val="20"/>
                <w:szCs w:val="20"/>
              </w:rPr>
              <w:t>Osijek</w:t>
            </w:r>
          </w:p>
        </w:tc>
        <w:tc>
          <w:tcPr>
            <w:tcW w:w="3685" w:type="dxa"/>
            <w:gridSpan w:val="2"/>
            <w:vAlign w:val="center"/>
            <w:hideMark/>
          </w:tcPr>
          <w:p w14:paraId="4800D4A5" w14:textId="77777777" w:rsidR="008713E7" w:rsidRPr="00324820" w:rsidRDefault="008713E7" w:rsidP="008713E7">
            <w:pPr>
              <w:jc w:val="center"/>
              <w:rPr>
                <w:rFonts w:cs="Arial"/>
                <w:sz w:val="20"/>
                <w:szCs w:val="20"/>
              </w:rPr>
            </w:pPr>
            <w:r w:rsidRPr="00324820">
              <w:rPr>
                <w:rFonts w:cs="Arial"/>
                <w:sz w:val="20"/>
                <w:szCs w:val="20"/>
              </w:rPr>
              <w:t>učinkovito, pri čemu su potrebna određena poboljšanja</w:t>
            </w:r>
          </w:p>
        </w:tc>
      </w:tr>
      <w:tr w:rsidR="008713E7" w:rsidRPr="00324820" w14:paraId="64B956C0" w14:textId="77777777" w:rsidTr="001F3738">
        <w:trPr>
          <w:cantSplit/>
          <w:trHeight w:val="397"/>
          <w:jc w:val="center"/>
        </w:trPr>
        <w:tc>
          <w:tcPr>
            <w:tcW w:w="495" w:type="dxa"/>
            <w:vAlign w:val="center"/>
            <w:hideMark/>
          </w:tcPr>
          <w:p w14:paraId="5A6C40BE" w14:textId="77777777" w:rsidR="008713E7" w:rsidRPr="00324820" w:rsidRDefault="008713E7" w:rsidP="008713E7">
            <w:pPr>
              <w:rPr>
                <w:rFonts w:cs="Arial"/>
                <w:sz w:val="20"/>
                <w:szCs w:val="20"/>
              </w:rPr>
            </w:pPr>
            <w:r w:rsidRPr="00324820">
              <w:rPr>
                <w:rFonts w:cs="Arial"/>
                <w:sz w:val="20"/>
                <w:szCs w:val="20"/>
              </w:rPr>
              <w:t>10.</w:t>
            </w:r>
          </w:p>
        </w:tc>
        <w:tc>
          <w:tcPr>
            <w:tcW w:w="5596" w:type="dxa"/>
            <w:vAlign w:val="center"/>
            <w:hideMark/>
          </w:tcPr>
          <w:p w14:paraId="05FCB017" w14:textId="77777777" w:rsidR="008713E7" w:rsidRPr="00324820" w:rsidRDefault="008713E7" w:rsidP="008713E7">
            <w:pPr>
              <w:rPr>
                <w:rFonts w:cs="Arial"/>
                <w:sz w:val="20"/>
                <w:szCs w:val="20"/>
              </w:rPr>
            </w:pPr>
            <w:r w:rsidRPr="00324820">
              <w:rPr>
                <w:rFonts w:cs="Arial"/>
                <w:sz w:val="20"/>
                <w:szCs w:val="20"/>
              </w:rPr>
              <w:t>Pazin</w:t>
            </w:r>
          </w:p>
        </w:tc>
        <w:tc>
          <w:tcPr>
            <w:tcW w:w="3685" w:type="dxa"/>
            <w:gridSpan w:val="2"/>
            <w:vAlign w:val="center"/>
            <w:hideMark/>
          </w:tcPr>
          <w:p w14:paraId="49FC0785" w14:textId="77777777" w:rsidR="008713E7" w:rsidRPr="00324820" w:rsidRDefault="008713E7" w:rsidP="008713E7">
            <w:pPr>
              <w:jc w:val="center"/>
              <w:rPr>
                <w:rFonts w:cs="Arial"/>
                <w:sz w:val="20"/>
                <w:szCs w:val="20"/>
              </w:rPr>
            </w:pPr>
            <w:r w:rsidRPr="00324820">
              <w:rPr>
                <w:rFonts w:cs="Arial"/>
                <w:sz w:val="20"/>
                <w:szCs w:val="20"/>
              </w:rPr>
              <w:t>učinkovito, pri čemu su potrebna određena poboljšanja</w:t>
            </w:r>
          </w:p>
        </w:tc>
      </w:tr>
      <w:tr w:rsidR="008713E7" w:rsidRPr="00324820" w14:paraId="633EAC10" w14:textId="77777777" w:rsidTr="001F3738">
        <w:trPr>
          <w:cantSplit/>
          <w:trHeight w:val="397"/>
          <w:jc w:val="center"/>
        </w:trPr>
        <w:tc>
          <w:tcPr>
            <w:tcW w:w="495" w:type="dxa"/>
            <w:vAlign w:val="center"/>
            <w:hideMark/>
          </w:tcPr>
          <w:p w14:paraId="3541F0FF" w14:textId="77777777" w:rsidR="008713E7" w:rsidRPr="00324820" w:rsidRDefault="008713E7" w:rsidP="008713E7">
            <w:pPr>
              <w:rPr>
                <w:rFonts w:cs="Arial"/>
                <w:sz w:val="20"/>
                <w:szCs w:val="20"/>
              </w:rPr>
            </w:pPr>
            <w:r w:rsidRPr="00324820">
              <w:rPr>
                <w:rFonts w:cs="Arial"/>
                <w:sz w:val="20"/>
                <w:szCs w:val="20"/>
              </w:rPr>
              <w:t>11.</w:t>
            </w:r>
          </w:p>
        </w:tc>
        <w:tc>
          <w:tcPr>
            <w:tcW w:w="5596" w:type="dxa"/>
            <w:vAlign w:val="center"/>
            <w:hideMark/>
          </w:tcPr>
          <w:p w14:paraId="3DC73A08" w14:textId="77777777" w:rsidR="008713E7" w:rsidRPr="00324820" w:rsidRDefault="008713E7" w:rsidP="008713E7">
            <w:pPr>
              <w:rPr>
                <w:rFonts w:cs="Arial"/>
                <w:sz w:val="20"/>
                <w:szCs w:val="20"/>
              </w:rPr>
            </w:pPr>
            <w:r w:rsidRPr="00324820">
              <w:rPr>
                <w:rFonts w:cs="Arial"/>
                <w:sz w:val="20"/>
                <w:szCs w:val="20"/>
              </w:rPr>
              <w:t>Požega</w:t>
            </w:r>
          </w:p>
        </w:tc>
        <w:tc>
          <w:tcPr>
            <w:tcW w:w="3685" w:type="dxa"/>
            <w:gridSpan w:val="2"/>
            <w:vAlign w:val="center"/>
            <w:hideMark/>
          </w:tcPr>
          <w:p w14:paraId="1F0A251E" w14:textId="77777777" w:rsidR="008713E7" w:rsidRPr="00324820" w:rsidRDefault="008713E7" w:rsidP="008713E7">
            <w:pPr>
              <w:jc w:val="center"/>
              <w:rPr>
                <w:rFonts w:cs="Arial"/>
                <w:sz w:val="20"/>
                <w:szCs w:val="20"/>
              </w:rPr>
            </w:pPr>
            <w:r w:rsidRPr="00324820">
              <w:rPr>
                <w:rFonts w:cs="Arial"/>
                <w:sz w:val="20"/>
                <w:szCs w:val="20"/>
              </w:rPr>
              <w:t>učinkovito, pri čemu su potrebna određena poboljšanja</w:t>
            </w:r>
          </w:p>
        </w:tc>
      </w:tr>
      <w:tr w:rsidR="008713E7" w:rsidRPr="00324820" w14:paraId="7717C6BE" w14:textId="77777777" w:rsidTr="001F3738">
        <w:trPr>
          <w:cantSplit/>
          <w:trHeight w:val="397"/>
          <w:jc w:val="center"/>
        </w:trPr>
        <w:tc>
          <w:tcPr>
            <w:tcW w:w="495" w:type="dxa"/>
            <w:vAlign w:val="center"/>
            <w:hideMark/>
          </w:tcPr>
          <w:p w14:paraId="765BDC8B" w14:textId="77777777" w:rsidR="008713E7" w:rsidRPr="00324820" w:rsidRDefault="008713E7" w:rsidP="008713E7">
            <w:pPr>
              <w:rPr>
                <w:rFonts w:cs="Arial"/>
                <w:sz w:val="20"/>
                <w:szCs w:val="20"/>
              </w:rPr>
            </w:pPr>
            <w:r w:rsidRPr="00324820">
              <w:rPr>
                <w:rFonts w:cs="Arial"/>
                <w:sz w:val="20"/>
                <w:szCs w:val="20"/>
              </w:rPr>
              <w:t>12.</w:t>
            </w:r>
          </w:p>
        </w:tc>
        <w:tc>
          <w:tcPr>
            <w:tcW w:w="5596" w:type="dxa"/>
            <w:vAlign w:val="center"/>
            <w:hideMark/>
          </w:tcPr>
          <w:p w14:paraId="3D28AE91" w14:textId="77777777" w:rsidR="008713E7" w:rsidRPr="00324820" w:rsidRDefault="008713E7" w:rsidP="008713E7">
            <w:pPr>
              <w:rPr>
                <w:rFonts w:cs="Arial"/>
                <w:sz w:val="20"/>
                <w:szCs w:val="20"/>
              </w:rPr>
            </w:pPr>
            <w:r w:rsidRPr="00324820">
              <w:rPr>
                <w:rFonts w:cs="Arial"/>
                <w:sz w:val="20"/>
                <w:szCs w:val="20"/>
              </w:rPr>
              <w:t>Pula</w:t>
            </w:r>
          </w:p>
        </w:tc>
        <w:tc>
          <w:tcPr>
            <w:tcW w:w="3685" w:type="dxa"/>
            <w:gridSpan w:val="2"/>
            <w:vAlign w:val="center"/>
            <w:hideMark/>
          </w:tcPr>
          <w:p w14:paraId="5CBDC412" w14:textId="77777777" w:rsidR="008713E7" w:rsidRPr="00324820" w:rsidRDefault="008713E7" w:rsidP="008713E7">
            <w:pPr>
              <w:jc w:val="center"/>
              <w:rPr>
                <w:rFonts w:cs="Arial"/>
                <w:sz w:val="20"/>
                <w:szCs w:val="20"/>
              </w:rPr>
            </w:pPr>
            <w:r w:rsidRPr="00324820">
              <w:rPr>
                <w:rFonts w:cs="Arial"/>
                <w:sz w:val="20"/>
                <w:szCs w:val="20"/>
              </w:rPr>
              <w:t>učinkovito, pri čemu su potrebna određena poboljšanja</w:t>
            </w:r>
          </w:p>
        </w:tc>
      </w:tr>
      <w:tr w:rsidR="008713E7" w:rsidRPr="00324820" w14:paraId="5F6D514B" w14:textId="77777777" w:rsidTr="001F3738">
        <w:trPr>
          <w:cantSplit/>
          <w:trHeight w:val="397"/>
          <w:jc w:val="center"/>
        </w:trPr>
        <w:tc>
          <w:tcPr>
            <w:tcW w:w="495" w:type="dxa"/>
            <w:vAlign w:val="center"/>
            <w:hideMark/>
          </w:tcPr>
          <w:p w14:paraId="66306FEA" w14:textId="77777777" w:rsidR="008713E7" w:rsidRPr="00324820" w:rsidRDefault="008713E7" w:rsidP="008713E7">
            <w:pPr>
              <w:rPr>
                <w:rFonts w:cs="Arial"/>
                <w:sz w:val="20"/>
                <w:szCs w:val="20"/>
              </w:rPr>
            </w:pPr>
            <w:r w:rsidRPr="00324820">
              <w:rPr>
                <w:rFonts w:cs="Arial"/>
                <w:sz w:val="20"/>
                <w:szCs w:val="20"/>
              </w:rPr>
              <w:t>13.</w:t>
            </w:r>
          </w:p>
        </w:tc>
        <w:tc>
          <w:tcPr>
            <w:tcW w:w="5596" w:type="dxa"/>
            <w:vAlign w:val="center"/>
            <w:hideMark/>
          </w:tcPr>
          <w:p w14:paraId="6B425ED0" w14:textId="77777777" w:rsidR="008713E7" w:rsidRPr="00324820" w:rsidRDefault="008713E7" w:rsidP="008713E7">
            <w:pPr>
              <w:rPr>
                <w:rFonts w:cs="Arial"/>
                <w:sz w:val="20"/>
                <w:szCs w:val="20"/>
              </w:rPr>
            </w:pPr>
            <w:r w:rsidRPr="00324820">
              <w:rPr>
                <w:rFonts w:cs="Arial"/>
                <w:sz w:val="20"/>
                <w:szCs w:val="20"/>
              </w:rPr>
              <w:t>Rijeka</w:t>
            </w:r>
          </w:p>
        </w:tc>
        <w:tc>
          <w:tcPr>
            <w:tcW w:w="3685" w:type="dxa"/>
            <w:gridSpan w:val="2"/>
            <w:vAlign w:val="center"/>
            <w:hideMark/>
          </w:tcPr>
          <w:p w14:paraId="6C3C4699" w14:textId="77777777" w:rsidR="008713E7" w:rsidRPr="00324820" w:rsidRDefault="008713E7" w:rsidP="008713E7">
            <w:pPr>
              <w:jc w:val="center"/>
              <w:rPr>
                <w:rFonts w:cs="Arial"/>
                <w:sz w:val="20"/>
                <w:szCs w:val="20"/>
              </w:rPr>
            </w:pPr>
            <w:r w:rsidRPr="00324820">
              <w:rPr>
                <w:rFonts w:cs="Arial"/>
                <w:sz w:val="20"/>
                <w:szCs w:val="20"/>
              </w:rPr>
              <w:t>učinkovito, pri čemu su potrebna određena poboljšanja</w:t>
            </w:r>
          </w:p>
        </w:tc>
      </w:tr>
      <w:tr w:rsidR="008713E7" w:rsidRPr="00324820" w14:paraId="21866515" w14:textId="77777777" w:rsidTr="001F3738">
        <w:trPr>
          <w:cantSplit/>
          <w:trHeight w:val="397"/>
          <w:jc w:val="center"/>
        </w:trPr>
        <w:tc>
          <w:tcPr>
            <w:tcW w:w="495" w:type="dxa"/>
            <w:vAlign w:val="center"/>
            <w:hideMark/>
          </w:tcPr>
          <w:p w14:paraId="7FD491DE" w14:textId="77777777" w:rsidR="008713E7" w:rsidRPr="00324820" w:rsidRDefault="008713E7" w:rsidP="008713E7">
            <w:pPr>
              <w:rPr>
                <w:rFonts w:cs="Arial"/>
                <w:sz w:val="20"/>
                <w:szCs w:val="20"/>
              </w:rPr>
            </w:pPr>
            <w:r w:rsidRPr="00324820">
              <w:rPr>
                <w:rFonts w:cs="Arial"/>
                <w:sz w:val="20"/>
                <w:szCs w:val="20"/>
              </w:rPr>
              <w:t>14.</w:t>
            </w:r>
          </w:p>
        </w:tc>
        <w:tc>
          <w:tcPr>
            <w:tcW w:w="5596" w:type="dxa"/>
            <w:vAlign w:val="center"/>
            <w:hideMark/>
          </w:tcPr>
          <w:p w14:paraId="18ECF9DF" w14:textId="77777777" w:rsidR="008713E7" w:rsidRPr="00324820" w:rsidRDefault="008713E7" w:rsidP="008713E7">
            <w:pPr>
              <w:rPr>
                <w:rFonts w:cs="Arial"/>
                <w:sz w:val="20"/>
                <w:szCs w:val="20"/>
              </w:rPr>
            </w:pPr>
            <w:r w:rsidRPr="00324820">
              <w:rPr>
                <w:rFonts w:cs="Arial"/>
                <w:sz w:val="20"/>
                <w:szCs w:val="20"/>
              </w:rPr>
              <w:t>Samobor</w:t>
            </w:r>
          </w:p>
        </w:tc>
        <w:tc>
          <w:tcPr>
            <w:tcW w:w="3685" w:type="dxa"/>
            <w:gridSpan w:val="2"/>
            <w:vAlign w:val="center"/>
            <w:hideMark/>
          </w:tcPr>
          <w:p w14:paraId="563A9C2E" w14:textId="77777777" w:rsidR="008713E7" w:rsidRPr="00324820" w:rsidRDefault="008713E7" w:rsidP="008713E7">
            <w:pPr>
              <w:jc w:val="center"/>
              <w:rPr>
                <w:rFonts w:cs="Arial"/>
                <w:sz w:val="20"/>
                <w:szCs w:val="20"/>
              </w:rPr>
            </w:pPr>
            <w:r w:rsidRPr="00324820">
              <w:rPr>
                <w:rFonts w:cs="Arial"/>
                <w:sz w:val="20"/>
                <w:szCs w:val="20"/>
              </w:rPr>
              <w:t>učinkovito, pri čemu su potrebna određena poboljšanja</w:t>
            </w:r>
          </w:p>
        </w:tc>
      </w:tr>
      <w:tr w:rsidR="008713E7" w:rsidRPr="00324820" w14:paraId="00329CE1" w14:textId="77777777" w:rsidTr="001F3738">
        <w:trPr>
          <w:cantSplit/>
          <w:trHeight w:val="397"/>
          <w:jc w:val="center"/>
        </w:trPr>
        <w:tc>
          <w:tcPr>
            <w:tcW w:w="495" w:type="dxa"/>
            <w:vAlign w:val="center"/>
            <w:hideMark/>
          </w:tcPr>
          <w:p w14:paraId="3BE09E56" w14:textId="77777777" w:rsidR="008713E7" w:rsidRPr="00324820" w:rsidRDefault="008713E7" w:rsidP="008713E7">
            <w:pPr>
              <w:rPr>
                <w:rFonts w:cs="Arial"/>
                <w:sz w:val="20"/>
                <w:szCs w:val="20"/>
              </w:rPr>
            </w:pPr>
            <w:r w:rsidRPr="00324820">
              <w:rPr>
                <w:rFonts w:cs="Arial"/>
                <w:sz w:val="20"/>
                <w:szCs w:val="20"/>
              </w:rPr>
              <w:t>15.</w:t>
            </w:r>
          </w:p>
        </w:tc>
        <w:tc>
          <w:tcPr>
            <w:tcW w:w="5596" w:type="dxa"/>
            <w:vAlign w:val="center"/>
            <w:hideMark/>
          </w:tcPr>
          <w:p w14:paraId="33271C90" w14:textId="77777777" w:rsidR="008713E7" w:rsidRPr="00324820" w:rsidRDefault="008713E7" w:rsidP="008713E7">
            <w:pPr>
              <w:rPr>
                <w:rFonts w:cs="Arial"/>
                <w:sz w:val="20"/>
                <w:szCs w:val="20"/>
              </w:rPr>
            </w:pPr>
            <w:r w:rsidRPr="00324820">
              <w:rPr>
                <w:rFonts w:cs="Arial"/>
                <w:sz w:val="20"/>
                <w:szCs w:val="20"/>
              </w:rPr>
              <w:t>Slavonski Brod</w:t>
            </w:r>
          </w:p>
        </w:tc>
        <w:tc>
          <w:tcPr>
            <w:tcW w:w="3685" w:type="dxa"/>
            <w:gridSpan w:val="2"/>
            <w:vAlign w:val="center"/>
            <w:hideMark/>
          </w:tcPr>
          <w:p w14:paraId="7E7F998C" w14:textId="77777777" w:rsidR="008713E7" w:rsidRPr="00324820" w:rsidRDefault="008713E7" w:rsidP="008713E7">
            <w:pPr>
              <w:jc w:val="center"/>
              <w:rPr>
                <w:rFonts w:cs="Arial"/>
                <w:sz w:val="20"/>
                <w:szCs w:val="20"/>
              </w:rPr>
            </w:pPr>
            <w:r w:rsidRPr="00324820">
              <w:rPr>
                <w:rFonts w:cs="Arial"/>
                <w:sz w:val="20"/>
                <w:szCs w:val="20"/>
              </w:rPr>
              <w:t>učinkovito, pri čemu su potrebna određena poboljšanja</w:t>
            </w:r>
          </w:p>
        </w:tc>
      </w:tr>
      <w:tr w:rsidR="008713E7" w:rsidRPr="00324820" w14:paraId="21C2BF70" w14:textId="77777777" w:rsidTr="001F3738">
        <w:trPr>
          <w:cantSplit/>
          <w:trHeight w:val="397"/>
          <w:jc w:val="center"/>
        </w:trPr>
        <w:tc>
          <w:tcPr>
            <w:tcW w:w="495" w:type="dxa"/>
            <w:vAlign w:val="center"/>
            <w:hideMark/>
          </w:tcPr>
          <w:p w14:paraId="30B91185" w14:textId="77777777" w:rsidR="008713E7" w:rsidRPr="00324820" w:rsidRDefault="008713E7" w:rsidP="008713E7">
            <w:pPr>
              <w:rPr>
                <w:rFonts w:cs="Arial"/>
                <w:sz w:val="20"/>
                <w:szCs w:val="20"/>
              </w:rPr>
            </w:pPr>
            <w:r w:rsidRPr="00324820">
              <w:rPr>
                <w:rFonts w:cs="Arial"/>
                <w:sz w:val="20"/>
                <w:szCs w:val="20"/>
              </w:rPr>
              <w:t>16.</w:t>
            </w:r>
          </w:p>
        </w:tc>
        <w:tc>
          <w:tcPr>
            <w:tcW w:w="5596" w:type="dxa"/>
            <w:vAlign w:val="center"/>
            <w:hideMark/>
          </w:tcPr>
          <w:p w14:paraId="46E1F47C" w14:textId="77777777" w:rsidR="008713E7" w:rsidRPr="00324820" w:rsidRDefault="008713E7" w:rsidP="008713E7">
            <w:pPr>
              <w:rPr>
                <w:rFonts w:cs="Arial"/>
                <w:sz w:val="20"/>
                <w:szCs w:val="20"/>
              </w:rPr>
            </w:pPr>
            <w:r w:rsidRPr="00324820">
              <w:rPr>
                <w:rFonts w:cs="Arial"/>
                <w:sz w:val="20"/>
                <w:szCs w:val="20"/>
              </w:rPr>
              <w:t>Split</w:t>
            </w:r>
          </w:p>
        </w:tc>
        <w:tc>
          <w:tcPr>
            <w:tcW w:w="3685" w:type="dxa"/>
            <w:gridSpan w:val="2"/>
            <w:vAlign w:val="center"/>
            <w:hideMark/>
          </w:tcPr>
          <w:p w14:paraId="656D00C0" w14:textId="77777777" w:rsidR="008713E7" w:rsidRPr="00324820" w:rsidRDefault="008713E7" w:rsidP="008713E7">
            <w:pPr>
              <w:jc w:val="center"/>
              <w:rPr>
                <w:rFonts w:cs="Arial"/>
                <w:sz w:val="20"/>
                <w:szCs w:val="20"/>
              </w:rPr>
            </w:pPr>
            <w:r w:rsidRPr="00324820">
              <w:rPr>
                <w:rFonts w:cs="Arial"/>
                <w:sz w:val="20"/>
                <w:szCs w:val="20"/>
              </w:rPr>
              <w:t>učinkovito, pri čemu su potrebna određena poboljšanja</w:t>
            </w:r>
          </w:p>
        </w:tc>
      </w:tr>
      <w:tr w:rsidR="008713E7" w:rsidRPr="00324820" w14:paraId="65D3E5CC" w14:textId="77777777" w:rsidTr="001F3738">
        <w:trPr>
          <w:cantSplit/>
          <w:trHeight w:val="397"/>
          <w:jc w:val="center"/>
        </w:trPr>
        <w:tc>
          <w:tcPr>
            <w:tcW w:w="495" w:type="dxa"/>
            <w:vAlign w:val="center"/>
            <w:hideMark/>
          </w:tcPr>
          <w:p w14:paraId="4736DE90" w14:textId="77777777" w:rsidR="008713E7" w:rsidRPr="00324820" w:rsidRDefault="008713E7" w:rsidP="008713E7">
            <w:pPr>
              <w:rPr>
                <w:rFonts w:cs="Arial"/>
                <w:sz w:val="20"/>
                <w:szCs w:val="20"/>
              </w:rPr>
            </w:pPr>
            <w:r w:rsidRPr="00324820">
              <w:rPr>
                <w:rFonts w:cs="Arial"/>
                <w:sz w:val="20"/>
                <w:szCs w:val="20"/>
              </w:rPr>
              <w:t>17.</w:t>
            </w:r>
          </w:p>
        </w:tc>
        <w:tc>
          <w:tcPr>
            <w:tcW w:w="5596" w:type="dxa"/>
            <w:vAlign w:val="center"/>
            <w:hideMark/>
          </w:tcPr>
          <w:p w14:paraId="1F0520F7" w14:textId="77777777" w:rsidR="008713E7" w:rsidRPr="00324820" w:rsidRDefault="008713E7" w:rsidP="008713E7">
            <w:pPr>
              <w:rPr>
                <w:rFonts w:cs="Arial"/>
                <w:sz w:val="20"/>
                <w:szCs w:val="20"/>
              </w:rPr>
            </w:pPr>
            <w:r w:rsidRPr="00324820">
              <w:rPr>
                <w:rFonts w:cs="Arial"/>
                <w:sz w:val="20"/>
                <w:szCs w:val="20"/>
              </w:rPr>
              <w:t>Šibenik</w:t>
            </w:r>
          </w:p>
        </w:tc>
        <w:tc>
          <w:tcPr>
            <w:tcW w:w="3685" w:type="dxa"/>
            <w:gridSpan w:val="2"/>
            <w:vAlign w:val="center"/>
            <w:hideMark/>
          </w:tcPr>
          <w:p w14:paraId="22CE77BA" w14:textId="77777777" w:rsidR="008713E7" w:rsidRPr="00324820" w:rsidRDefault="008713E7" w:rsidP="008713E7">
            <w:pPr>
              <w:jc w:val="center"/>
              <w:rPr>
                <w:rFonts w:cs="Arial"/>
                <w:sz w:val="20"/>
                <w:szCs w:val="20"/>
              </w:rPr>
            </w:pPr>
            <w:r w:rsidRPr="00324820">
              <w:rPr>
                <w:rFonts w:cs="Arial"/>
                <w:sz w:val="20"/>
                <w:szCs w:val="20"/>
              </w:rPr>
              <w:t>učinkovito, pri čemu su potrebna određena poboljšanja</w:t>
            </w:r>
          </w:p>
        </w:tc>
      </w:tr>
      <w:tr w:rsidR="008713E7" w:rsidRPr="00324820" w14:paraId="16D10A78" w14:textId="77777777" w:rsidTr="000C1EDF">
        <w:trPr>
          <w:cantSplit/>
          <w:trHeight w:val="284"/>
          <w:jc w:val="center"/>
        </w:trPr>
        <w:tc>
          <w:tcPr>
            <w:tcW w:w="495" w:type="dxa"/>
            <w:vAlign w:val="center"/>
            <w:hideMark/>
          </w:tcPr>
          <w:p w14:paraId="0D23AB0A" w14:textId="77777777" w:rsidR="008713E7" w:rsidRPr="00324820" w:rsidRDefault="008713E7" w:rsidP="008713E7">
            <w:pPr>
              <w:rPr>
                <w:rFonts w:cs="Arial"/>
                <w:sz w:val="20"/>
                <w:szCs w:val="20"/>
              </w:rPr>
            </w:pPr>
            <w:r w:rsidRPr="00324820">
              <w:rPr>
                <w:rFonts w:cs="Arial"/>
                <w:sz w:val="20"/>
                <w:szCs w:val="20"/>
              </w:rPr>
              <w:t>18.</w:t>
            </w:r>
          </w:p>
        </w:tc>
        <w:tc>
          <w:tcPr>
            <w:tcW w:w="5596" w:type="dxa"/>
            <w:vAlign w:val="center"/>
            <w:hideMark/>
          </w:tcPr>
          <w:p w14:paraId="2C654FA3" w14:textId="77777777" w:rsidR="008713E7" w:rsidRPr="00324820" w:rsidRDefault="008713E7" w:rsidP="008713E7">
            <w:pPr>
              <w:rPr>
                <w:rFonts w:cs="Arial"/>
                <w:sz w:val="20"/>
                <w:szCs w:val="20"/>
              </w:rPr>
            </w:pPr>
            <w:r w:rsidRPr="00324820">
              <w:rPr>
                <w:rFonts w:cs="Arial"/>
                <w:sz w:val="20"/>
                <w:szCs w:val="20"/>
              </w:rPr>
              <w:t>Varaždin</w:t>
            </w:r>
          </w:p>
        </w:tc>
        <w:tc>
          <w:tcPr>
            <w:tcW w:w="3685" w:type="dxa"/>
            <w:gridSpan w:val="2"/>
            <w:vAlign w:val="center"/>
            <w:hideMark/>
          </w:tcPr>
          <w:p w14:paraId="45ACF21D" w14:textId="77777777" w:rsidR="008713E7" w:rsidRPr="00324820" w:rsidRDefault="008713E7" w:rsidP="008713E7">
            <w:pPr>
              <w:jc w:val="center"/>
              <w:rPr>
                <w:rFonts w:cs="Arial"/>
                <w:sz w:val="20"/>
                <w:szCs w:val="20"/>
              </w:rPr>
            </w:pPr>
            <w:r w:rsidRPr="00324820">
              <w:rPr>
                <w:rFonts w:cs="Arial"/>
                <w:sz w:val="20"/>
                <w:szCs w:val="20"/>
              </w:rPr>
              <w:t>djelomično učinkovito</w:t>
            </w:r>
          </w:p>
        </w:tc>
      </w:tr>
      <w:tr w:rsidR="008713E7" w:rsidRPr="00324820" w14:paraId="6F53C79F" w14:textId="77777777" w:rsidTr="000C1EDF">
        <w:trPr>
          <w:cantSplit/>
          <w:trHeight w:val="284"/>
          <w:jc w:val="center"/>
        </w:trPr>
        <w:tc>
          <w:tcPr>
            <w:tcW w:w="495" w:type="dxa"/>
            <w:vAlign w:val="center"/>
            <w:hideMark/>
          </w:tcPr>
          <w:p w14:paraId="6C8B5F74" w14:textId="77777777" w:rsidR="008713E7" w:rsidRPr="00324820" w:rsidRDefault="008713E7" w:rsidP="008713E7">
            <w:pPr>
              <w:rPr>
                <w:rFonts w:cs="Arial"/>
                <w:sz w:val="20"/>
                <w:szCs w:val="20"/>
              </w:rPr>
            </w:pPr>
            <w:r w:rsidRPr="00324820">
              <w:rPr>
                <w:rFonts w:cs="Arial"/>
                <w:sz w:val="20"/>
                <w:szCs w:val="20"/>
              </w:rPr>
              <w:t>19.</w:t>
            </w:r>
          </w:p>
        </w:tc>
        <w:tc>
          <w:tcPr>
            <w:tcW w:w="5596" w:type="dxa"/>
            <w:vAlign w:val="center"/>
            <w:hideMark/>
          </w:tcPr>
          <w:p w14:paraId="39D9D862" w14:textId="77777777" w:rsidR="008713E7" w:rsidRPr="00324820" w:rsidRDefault="008713E7" w:rsidP="008713E7">
            <w:pPr>
              <w:rPr>
                <w:rFonts w:cs="Arial"/>
                <w:sz w:val="20"/>
                <w:szCs w:val="20"/>
              </w:rPr>
            </w:pPr>
            <w:r w:rsidRPr="00324820">
              <w:rPr>
                <w:rFonts w:cs="Arial"/>
                <w:sz w:val="20"/>
                <w:szCs w:val="20"/>
              </w:rPr>
              <w:t>Velika Gorica</w:t>
            </w:r>
          </w:p>
        </w:tc>
        <w:tc>
          <w:tcPr>
            <w:tcW w:w="3685" w:type="dxa"/>
            <w:gridSpan w:val="2"/>
            <w:vAlign w:val="center"/>
            <w:hideMark/>
          </w:tcPr>
          <w:p w14:paraId="754EE929" w14:textId="77777777" w:rsidR="008713E7" w:rsidRPr="00324820" w:rsidRDefault="008713E7" w:rsidP="008713E7">
            <w:pPr>
              <w:jc w:val="center"/>
              <w:rPr>
                <w:rFonts w:cs="Arial"/>
                <w:sz w:val="20"/>
                <w:szCs w:val="20"/>
              </w:rPr>
            </w:pPr>
            <w:r w:rsidRPr="00324820">
              <w:rPr>
                <w:rFonts w:cs="Arial"/>
                <w:sz w:val="20"/>
                <w:szCs w:val="20"/>
              </w:rPr>
              <w:t>djelomično učinkovito</w:t>
            </w:r>
          </w:p>
        </w:tc>
      </w:tr>
      <w:tr w:rsidR="008713E7" w:rsidRPr="00324820" w14:paraId="7BD28318" w14:textId="77777777" w:rsidTr="001F3738">
        <w:trPr>
          <w:cantSplit/>
          <w:trHeight w:val="397"/>
          <w:jc w:val="center"/>
        </w:trPr>
        <w:tc>
          <w:tcPr>
            <w:tcW w:w="495" w:type="dxa"/>
            <w:vAlign w:val="center"/>
            <w:hideMark/>
          </w:tcPr>
          <w:p w14:paraId="7C1E172B" w14:textId="77777777" w:rsidR="008713E7" w:rsidRPr="00324820" w:rsidRDefault="008713E7" w:rsidP="008713E7">
            <w:pPr>
              <w:rPr>
                <w:rFonts w:cs="Arial"/>
                <w:sz w:val="20"/>
                <w:szCs w:val="20"/>
              </w:rPr>
            </w:pPr>
            <w:r w:rsidRPr="00324820">
              <w:rPr>
                <w:rFonts w:cs="Arial"/>
                <w:sz w:val="20"/>
                <w:szCs w:val="20"/>
              </w:rPr>
              <w:t>20.</w:t>
            </w:r>
          </w:p>
        </w:tc>
        <w:tc>
          <w:tcPr>
            <w:tcW w:w="5596" w:type="dxa"/>
            <w:vAlign w:val="center"/>
            <w:hideMark/>
          </w:tcPr>
          <w:p w14:paraId="296BC8EE" w14:textId="77777777" w:rsidR="008713E7" w:rsidRPr="00324820" w:rsidRDefault="008713E7" w:rsidP="008713E7">
            <w:pPr>
              <w:rPr>
                <w:rFonts w:cs="Arial"/>
                <w:sz w:val="20"/>
                <w:szCs w:val="20"/>
              </w:rPr>
            </w:pPr>
            <w:r w:rsidRPr="00324820">
              <w:rPr>
                <w:rFonts w:cs="Arial"/>
                <w:sz w:val="20"/>
                <w:szCs w:val="20"/>
              </w:rPr>
              <w:t>Virovitica</w:t>
            </w:r>
          </w:p>
        </w:tc>
        <w:tc>
          <w:tcPr>
            <w:tcW w:w="3685" w:type="dxa"/>
            <w:gridSpan w:val="2"/>
            <w:vAlign w:val="center"/>
            <w:hideMark/>
          </w:tcPr>
          <w:p w14:paraId="27081320" w14:textId="77777777" w:rsidR="008713E7" w:rsidRPr="00324820" w:rsidRDefault="008713E7" w:rsidP="008713E7">
            <w:pPr>
              <w:jc w:val="center"/>
              <w:rPr>
                <w:rFonts w:cs="Arial"/>
                <w:sz w:val="20"/>
                <w:szCs w:val="20"/>
              </w:rPr>
            </w:pPr>
            <w:r w:rsidRPr="00324820">
              <w:rPr>
                <w:rFonts w:cs="Arial"/>
                <w:sz w:val="20"/>
                <w:szCs w:val="20"/>
              </w:rPr>
              <w:t>učinkovito, pri čemu su potrebna određena poboljšanja</w:t>
            </w:r>
          </w:p>
        </w:tc>
      </w:tr>
      <w:tr w:rsidR="008713E7" w:rsidRPr="00324820" w14:paraId="11DA1D9F" w14:textId="77777777" w:rsidTr="001F3738">
        <w:trPr>
          <w:cantSplit/>
          <w:trHeight w:val="397"/>
          <w:jc w:val="center"/>
        </w:trPr>
        <w:tc>
          <w:tcPr>
            <w:tcW w:w="495" w:type="dxa"/>
            <w:vAlign w:val="center"/>
            <w:hideMark/>
          </w:tcPr>
          <w:p w14:paraId="55FC3311" w14:textId="77777777" w:rsidR="008713E7" w:rsidRPr="00324820" w:rsidRDefault="008713E7" w:rsidP="008713E7">
            <w:pPr>
              <w:rPr>
                <w:rFonts w:cs="Arial"/>
                <w:sz w:val="20"/>
                <w:szCs w:val="20"/>
              </w:rPr>
            </w:pPr>
            <w:r w:rsidRPr="00324820">
              <w:rPr>
                <w:rFonts w:cs="Arial"/>
                <w:sz w:val="20"/>
                <w:szCs w:val="20"/>
              </w:rPr>
              <w:t>21.</w:t>
            </w:r>
          </w:p>
        </w:tc>
        <w:tc>
          <w:tcPr>
            <w:tcW w:w="5596" w:type="dxa"/>
            <w:vAlign w:val="center"/>
            <w:hideMark/>
          </w:tcPr>
          <w:p w14:paraId="473FFD0D" w14:textId="77777777" w:rsidR="008713E7" w:rsidRPr="00324820" w:rsidRDefault="008713E7" w:rsidP="008713E7">
            <w:pPr>
              <w:rPr>
                <w:rFonts w:cs="Arial"/>
                <w:sz w:val="20"/>
                <w:szCs w:val="20"/>
              </w:rPr>
            </w:pPr>
            <w:r w:rsidRPr="00324820">
              <w:rPr>
                <w:rFonts w:cs="Arial"/>
                <w:sz w:val="20"/>
                <w:szCs w:val="20"/>
              </w:rPr>
              <w:t>Vukovar</w:t>
            </w:r>
          </w:p>
        </w:tc>
        <w:tc>
          <w:tcPr>
            <w:tcW w:w="3685" w:type="dxa"/>
            <w:gridSpan w:val="2"/>
            <w:vAlign w:val="center"/>
            <w:hideMark/>
          </w:tcPr>
          <w:p w14:paraId="7CDBA872" w14:textId="77777777" w:rsidR="008713E7" w:rsidRPr="00324820" w:rsidRDefault="008713E7" w:rsidP="008713E7">
            <w:pPr>
              <w:jc w:val="center"/>
              <w:rPr>
                <w:rFonts w:cs="Arial"/>
                <w:sz w:val="20"/>
                <w:szCs w:val="20"/>
              </w:rPr>
            </w:pPr>
            <w:r w:rsidRPr="00324820">
              <w:rPr>
                <w:rFonts w:cs="Arial"/>
                <w:sz w:val="20"/>
                <w:szCs w:val="20"/>
              </w:rPr>
              <w:t>učinkovito, pri čemu su potrebna određena poboljšanja</w:t>
            </w:r>
          </w:p>
        </w:tc>
      </w:tr>
      <w:tr w:rsidR="008713E7" w:rsidRPr="00324820" w14:paraId="4B631EA2" w14:textId="77777777" w:rsidTr="001F3738">
        <w:trPr>
          <w:cantSplit/>
          <w:trHeight w:val="397"/>
          <w:jc w:val="center"/>
        </w:trPr>
        <w:tc>
          <w:tcPr>
            <w:tcW w:w="495" w:type="dxa"/>
            <w:vAlign w:val="center"/>
            <w:hideMark/>
          </w:tcPr>
          <w:p w14:paraId="77AF0824" w14:textId="77777777" w:rsidR="008713E7" w:rsidRPr="00324820" w:rsidRDefault="008713E7" w:rsidP="008713E7">
            <w:pPr>
              <w:rPr>
                <w:rFonts w:cs="Arial"/>
                <w:sz w:val="20"/>
                <w:szCs w:val="20"/>
              </w:rPr>
            </w:pPr>
            <w:r w:rsidRPr="00324820">
              <w:rPr>
                <w:rFonts w:cs="Arial"/>
                <w:sz w:val="20"/>
                <w:szCs w:val="20"/>
              </w:rPr>
              <w:t>22.</w:t>
            </w:r>
          </w:p>
        </w:tc>
        <w:tc>
          <w:tcPr>
            <w:tcW w:w="5596" w:type="dxa"/>
            <w:vAlign w:val="center"/>
            <w:hideMark/>
          </w:tcPr>
          <w:p w14:paraId="10D853CD" w14:textId="77777777" w:rsidR="008713E7" w:rsidRPr="00324820" w:rsidRDefault="008713E7" w:rsidP="008713E7">
            <w:pPr>
              <w:rPr>
                <w:rFonts w:cs="Arial"/>
                <w:sz w:val="20"/>
                <w:szCs w:val="20"/>
              </w:rPr>
            </w:pPr>
            <w:r w:rsidRPr="00324820">
              <w:rPr>
                <w:rFonts w:cs="Arial"/>
                <w:sz w:val="20"/>
                <w:szCs w:val="20"/>
              </w:rPr>
              <w:t>Zadar</w:t>
            </w:r>
          </w:p>
        </w:tc>
        <w:tc>
          <w:tcPr>
            <w:tcW w:w="3685" w:type="dxa"/>
            <w:gridSpan w:val="2"/>
            <w:vAlign w:val="center"/>
            <w:hideMark/>
          </w:tcPr>
          <w:p w14:paraId="5613A9BA" w14:textId="77777777" w:rsidR="008713E7" w:rsidRPr="00324820" w:rsidRDefault="008713E7" w:rsidP="008713E7">
            <w:pPr>
              <w:jc w:val="center"/>
              <w:rPr>
                <w:rFonts w:cs="Arial"/>
                <w:sz w:val="20"/>
                <w:szCs w:val="20"/>
              </w:rPr>
            </w:pPr>
            <w:r w:rsidRPr="00324820">
              <w:rPr>
                <w:rFonts w:cs="Arial"/>
                <w:sz w:val="20"/>
                <w:szCs w:val="20"/>
              </w:rPr>
              <w:t>učinkovito, pri čemu su potrebna određena poboljšanja</w:t>
            </w:r>
          </w:p>
        </w:tc>
      </w:tr>
      <w:tr w:rsidR="008713E7" w:rsidRPr="00324820" w14:paraId="7AFEE786" w14:textId="77777777" w:rsidTr="000C1EDF">
        <w:trPr>
          <w:cantSplit/>
          <w:trHeight w:val="284"/>
          <w:jc w:val="center"/>
        </w:trPr>
        <w:tc>
          <w:tcPr>
            <w:tcW w:w="495" w:type="dxa"/>
            <w:vAlign w:val="center"/>
            <w:hideMark/>
          </w:tcPr>
          <w:p w14:paraId="349B136E" w14:textId="77777777" w:rsidR="008713E7" w:rsidRPr="00324820" w:rsidRDefault="008713E7" w:rsidP="008713E7">
            <w:pPr>
              <w:rPr>
                <w:rFonts w:cs="Arial"/>
                <w:sz w:val="20"/>
                <w:szCs w:val="20"/>
              </w:rPr>
            </w:pPr>
            <w:r w:rsidRPr="00324820">
              <w:rPr>
                <w:rFonts w:cs="Arial"/>
                <w:sz w:val="20"/>
                <w:szCs w:val="20"/>
              </w:rPr>
              <w:t>23.</w:t>
            </w:r>
          </w:p>
        </w:tc>
        <w:tc>
          <w:tcPr>
            <w:tcW w:w="5596" w:type="dxa"/>
            <w:vAlign w:val="center"/>
            <w:hideMark/>
          </w:tcPr>
          <w:p w14:paraId="3C452FFD" w14:textId="77777777" w:rsidR="008713E7" w:rsidRPr="00324820" w:rsidRDefault="008713E7" w:rsidP="008713E7">
            <w:pPr>
              <w:rPr>
                <w:rFonts w:cs="Arial"/>
                <w:sz w:val="20"/>
                <w:szCs w:val="20"/>
              </w:rPr>
            </w:pPr>
            <w:r w:rsidRPr="00324820">
              <w:rPr>
                <w:rFonts w:cs="Arial"/>
                <w:sz w:val="20"/>
                <w:szCs w:val="20"/>
              </w:rPr>
              <w:t>Zagreb</w:t>
            </w:r>
          </w:p>
        </w:tc>
        <w:tc>
          <w:tcPr>
            <w:tcW w:w="3685" w:type="dxa"/>
            <w:gridSpan w:val="2"/>
            <w:vAlign w:val="center"/>
            <w:hideMark/>
          </w:tcPr>
          <w:p w14:paraId="454ECC42" w14:textId="77777777" w:rsidR="008713E7" w:rsidRPr="00324820" w:rsidRDefault="008713E7" w:rsidP="008713E7">
            <w:pPr>
              <w:jc w:val="center"/>
              <w:rPr>
                <w:rFonts w:cs="Arial"/>
                <w:sz w:val="20"/>
                <w:szCs w:val="20"/>
              </w:rPr>
            </w:pPr>
            <w:r w:rsidRPr="00324820">
              <w:rPr>
                <w:rFonts w:cs="Arial"/>
                <w:sz w:val="20"/>
                <w:szCs w:val="20"/>
              </w:rPr>
              <w:t>djelomično učinkovito</w:t>
            </w:r>
          </w:p>
        </w:tc>
      </w:tr>
      <w:tr w:rsidR="008713E7" w:rsidRPr="00324820" w14:paraId="79E797BE" w14:textId="77777777" w:rsidTr="001F3738">
        <w:trPr>
          <w:trHeight w:val="480"/>
          <w:jc w:val="center"/>
        </w:trPr>
        <w:tc>
          <w:tcPr>
            <w:tcW w:w="495" w:type="dxa"/>
            <w:shd w:val="clear" w:color="auto" w:fill="D9D9D9" w:themeFill="background1" w:themeFillShade="D9"/>
            <w:vAlign w:val="center"/>
            <w:hideMark/>
          </w:tcPr>
          <w:p w14:paraId="200500EF" w14:textId="77777777" w:rsidR="008713E7" w:rsidRPr="00C94A10" w:rsidRDefault="008713E7" w:rsidP="008713E7">
            <w:pPr>
              <w:rPr>
                <w:rFonts w:cs="Arial"/>
                <w:b/>
                <w:sz w:val="20"/>
                <w:szCs w:val="20"/>
              </w:rPr>
            </w:pPr>
            <w:r w:rsidRPr="00C94A10">
              <w:rPr>
                <w:rFonts w:cs="Arial"/>
                <w:b/>
                <w:sz w:val="20"/>
                <w:szCs w:val="20"/>
              </w:rPr>
              <w:t>II.</w:t>
            </w:r>
          </w:p>
        </w:tc>
        <w:tc>
          <w:tcPr>
            <w:tcW w:w="5596" w:type="dxa"/>
            <w:shd w:val="clear" w:color="auto" w:fill="D9D9D9" w:themeFill="background1" w:themeFillShade="D9"/>
            <w:vAlign w:val="center"/>
            <w:hideMark/>
          </w:tcPr>
          <w:p w14:paraId="7B019109" w14:textId="77777777" w:rsidR="008713E7" w:rsidRPr="00C94A10" w:rsidRDefault="008713E7" w:rsidP="008713E7">
            <w:pPr>
              <w:rPr>
                <w:rFonts w:cs="Arial"/>
                <w:b/>
                <w:sz w:val="20"/>
                <w:szCs w:val="20"/>
              </w:rPr>
            </w:pPr>
            <w:r w:rsidRPr="00C94A10">
              <w:rPr>
                <w:rFonts w:cs="Arial"/>
                <w:b/>
                <w:sz w:val="20"/>
                <w:szCs w:val="20"/>
              </w:rPr>
              <w:t>Dodjela i korištenje potpora financiranih iz Europskog poljoprivrednog fonda za ruralni razvoj u RH</w:t>
            </w:r>
          </w:p>
        </w:tc>
        <w:tc>
          <w:tcPr>
            <w:tcW w:w="3685" w:type="dxa"/>
            <w:gridSpan w:val="2"/>
            <w:shd w:val="clear" w:color="auto" w:fill="D9D9D9" w:themeFill="background1" w:themeFillShade="D9"/>
            <w:vAlign w:val="center"/>
            <w:hideMark/>
          </w:tcPr>
          <w:p w14:paraId="0625F9AA" w14:textId="77777777" w:rsidR="008713E7" w:rsidRPr="00324820" w:rsidRDefault="008713E7" w:rsidP="008713E7">
            <w:pPr>
              <w:jc w:val="center"/>
              <w:rPr>
                <w:rFonts w:cs="Arial"/>
                <w:sz w:val="20"/>
                <w:szCs w:val="20"/>
              </w:rPr>
            </w:pPr>
            <w:r w:rsidRPr="00324820">
              <w:rPr>
                <w:rFonts w:cs="Arial"/>
                <w:sz w:val="20"/>
                <w:szCs w:val="20"/>
              </w:rPr>
              <w:t>djelomično učinkovito</w:t>
            </w:r>
          </w:p>
        </w:tc>
      </w:tr>
    </w:tbl>
    <w:p w14:paraId="44B53B93" w14:textId="77777777" w:rsidR="00A437C9" w:rsidRPr="003B4E3F" w:rsidRDefault="00A437C9" w:rsidP="008713E7"/>
    <w:sectPr w:rsidR="00A437C9" w:rsidRPr="003B4E3F" w:rsidSect="00952B63">
      <w:headerReference w:type="default" r:id="rId12"/>
      <w:type w:val="continuous"/>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680C1" w14:textId="77777777" w:rsidR="004049E0" w:rsidRDefault="004049E0" w:rsidP="00952B63">
      <w:r>
        <w:separator/>
      </w:r>
    </w:p>
  </w:endnote>
  <w:endnote w:type="continuationSeparator" w:id="0">
    <w:p w14:paraId="011C3936" w14:textId="77777777" w:rsidR="004049E0" w:rsidRDefault="004049E0" w:rsidP="00952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54F8D" w14:textId="77777777" w:rsidR="004049E0" w:rsidRDefault="004049E0" w:rsidP="00952B63">
      <w:r>
        <w:separator/>
      </w:r>
    </w:p>
  </w:footnote>
  <w:footnote w:type="continuationSeparator" w:id="0">
    <w:p w14:paraId="63CF6F9C" w14:textId="77777777" w:rsidR="004049E0" w:rsidRDefault="004049E0" w:rsidP="00952B63">
      <w:r>
        <w:continuationSeparator/>
      </w:r>
    </w:p>
  </w:footnote>
  <w:footnote w:id="1">
    <w:p w14:paraId="5FA669EE" w14:textId="77777777" w:rsidR="0089132F" w:rsidRDefault="0089132F">
      <w:pPr>
        <w:pStyle w:val="Tekstfusnote"/>
      </w:pPr>
      <w:r>
        <w:rPr>
          <w:rStyle w:val="Referencafusnote"/>
        </w:rPr>
        <w:footnoteRef/>
      </w:r>
      <w:r>
        <w:t xml:space="preserve"> U Priopćenju za medije iz lipnja i listopada 2025. navedene su nepravilnosti kod ostalih pet korisnika državnog proračuna (Priopćenja su dostupna na </w:t>
      </w:r>
      <w:hyperlink r:id="rId1" w:history="1">
        <w:r w:rsidRPr="008330DC">
          <w:rPr>
            <w:rStyle w:val="Hiperveza"/>
          </w:rPr>
          <w:t>mrežnim stranicama</w:t>
        </w:r>
      </w:hyperlink>
      <w:r>
        <w:t xml:space="preserve"> Državnog ureda za reviziju).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3C935" w14:textId="77777777" w:rsidR="0089132F" w:rsidRDefault="0089132F">
    <w:pPr>
      <w:jc w:val="center"/>
    </w:pPr>
  </w:p>
  <w:p w14:paraId="097AABD5" w14:textId="77777777" w:rsidR="0089132F" w:rsidRDefault="0089132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11"/>
    <w:multiLevelType w:val="multilevel"/>
    <w:tmpl w:val="22B27824"/>
    <w:lvl w:ilvl="0">
      <w:numFmt w:val="bullet"/>
      <w:lvlText w:val="–"/>
      <w:lvlJc w:val="left"/>
      <w:pPr>
        <w:ind w:left="1087" w:hanging="284"/>
      </w:pPr>
      <w:rPr>
        <w:rFonts w:ascii="Bookman Old Style" w:eastAsia="Times New Roman" w:hAnsi="Bookman Old Style" w:cs="Bookman Old Style" w:hint="default"/>
        <w:b w:val="0"/>
        <w:color w:val="231F20"/>
        <w:spacing w:val="-29"/>
        <w:w w:val="100"/>
        <w:sz w:val="24"/>
      </w:rPr>
    </w:lvl>
    <w:lvl w:ilvl="1">
      <w:numFmt w:val="bullet"/>
      <w:lvlText w:val="•"/>
      <w:lvlJc w:val="left"/>
      <w:pPr>
        <w:ind w:left="1898" w:hanging="284"/>
      </w:pPr>
    </w:lvl>
    <w:lvl w:ilvl="2">
      <w:numFmt w:val="bullet"/>
      <w:lvlText w:val="•"/>
      <w:lvlJc w:val="left"/>
      <w:pPr>
        <w:ind w:left="2717" w:hanging="284"/>
      </w:pPr>
    </w:lvl>
    <w:lvl w:ilvl="3">
      <w:numFmt w:val="bullet"/>
      <w:lvlText w:val="•"/>
      <w:lvlJc w:val="left"/>
      <w:pPr>
        <w:ind w:left="3535" w:hanging="284"/>
      </w:pPr>
    </w:lvl>
    <w:lvl w:ilvl="4">
      <w:numFmt w:val="bullet"/>
      <w:lvlText w:val="•"/>
      <w:lvlJc w:val="left"/>
      <w:pPr>
        <w:ind w:left="4354" w:hanging="284"/>
      </w:pPr>
    </w:lvl>
    <w:lvl w:ilvl="5">
      <w:numFmt w:val="bullet"/>
      <w:lvlText w:val="•"/>
      <w:lvlJc w:val="left"/>
      <w:pPr>
        <w:ind w:left="5172" w:hanging="284"/>
      </w:pPr>
    </w:lvl>
    <w:lvl w:ilvl="6">
      <w:numFmt w:val="bullet"/>
      <w:lvlText w:val="•"/>
      <w:lvlJc w:val="left"/>
      <w:pPr>
        <w:ind w:left="5991" w:hanging="284"/>
      </w:pPr>
    </w:lvl>
    <w:lvl w:ilvl="7">
      <w:numFmt w:val="bullet"/>
      <w:lvlText w:val="•"/>
      <w:lvlJc w:val="left"/>
      <w:pPr>
        <w:ind w:left="6809" w:hanging="284"/>
      </w:pPr>
    </w:lvl>
    <w:lvl w:ilvl="8">
      <w:numFmt w:val="bullet"/>
      <w:lvlText w:val="•"/>
      <w:lvlJc w:val="left"/>
      <w:pPr>
        <w:ind w:left="7628" w:hanging="284"/>
      </w:pPr>
    </w:lvl>
  </w:abstractNum>
  <w:abstractNum w:abstractNumId="1" w15:restartNumberingAfterBreak="0">
    <w:nsid w:val="168B0169"/>
    <w:multiLevelType w:val="hybridMultilevel"/>
    <w:tmpl w:val="E9CCB6B6"/>
    <w:lvl w:ilvl="0" w:tplc="A3AEEA10">
      <w:numFmt w:val="bullet"/>
      <w:lvlText w:val="–"/>
      <w:lvlJc w:val="left"/>
      <w:pPr>
        <w:ind w:left="720" w:hanging="360"/>
      </w:pPr>
      <w:rPr>
        <w:rFonts w:ascii="Times New Roman" w:eastAsia="Times New Roman" w:hAnsi="Times New Roman" w:cs="Times New Roman"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B70444E"/>
    <w:multiLevelType w:val="hybridMultilevel"/>
    <w:tmpl w:val="2D464748"/>
    <w:lvl w:ilvl="0" w:tplc="C57CC838">
      <w:start w:val="1"/>
      <w:numFmt w:val="bullet"/>
      <w:lvlText w:val=""/>
      <w:lvlJc w:val="left"/>
      <w:pPr>
        <w:ind w:left="1287" w:hanging="360"/>
      </w:pPr>
      <w:rPr>
        <w:rFonts w:ascii="Symbol" w:hAnsi="Symbol" w:hint="default"/>
        <w:u w:color="404040" w:themeColor="text1" w:themeTint="BF"/>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3" w15:restartNumberingAfterBreak="0">
    <w:nsid w:val="24837C95"/>
    <w:multiLevelType w:val="hybridMultilevel"/>
    <w:tmpl w:val="75DA8A74"/>
    <w:lvl w:ilvl="0" w:tplc="DD6400FA">
      <w:numFmt w:val="bullet"/>
      <w:lvlText w:val="–"/>
      <w:lvlJc w:val="left"/>
      <w:pPr>
        <w:ind w:left="1287" w:hanging="360"/>
      </w:pPr>
      <w:rPr>
        <w:rFonts w:ascii="Arial" w:eastAsia="Times New Roman" w:hAnsi="Arial" w:cs="Aria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 w15:restartNumberingAfterBreak="0">
    <w:nsid w:val="25986E55"/>
    <w:multiLevelType w:val="hybridMultilevel"/>
    <w:tmpl w:val="F404E646"/>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5" w15:restartNumberingAfterBreak="0">
    <w:nsid w:val="262770C2"/>
    <w:multiLevelType w:val="hybridMultilevel"/>
    <w:tmpl w:val="8EB88C30"/>
    <w:lvl w:ilvl="0" w:tplc="A9B038EE">
      <w:numFmt w:val="bullet"/>
      <w:lvlText w:val="–"/>
      <w:lvlJc w:val="left"/>
      <w:pPr>
        <w:ind w:left="930" w:hanging="360"/>
      </w:pPr>
      <w:rPr>
        <w:rFonts w:ascii="Times New Roman" w:eastAsiaTheme="minorHAnsi" w:hAnsi="Times New Roman" w:cs="Times New Roman" w:hint="default"/>
      </w:rPr>
    </w:lvl>
    <w:lvl w:ilvl="1" w:tplc="041A0003">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6" w15:restartNumberingAfterBreak="0">
    <w:nsid w:val="2D0F528E"/>
    <w:multiLevelType w:val="hybridMultilevel"/>
    <w:tmpl w:val="137E101A"/>
    <w:lvl w:ilvl="0" w:tplc="A6604532">
      <w:numFmt w:val="bullet"/>
      <w:lvlText w:val="-"/>
      <w:lvlJc w:val="left"/>
      <w:pPr>
        <w:ind w:left="927" w:hanging="360"/>
      </w:pPr>
      <w:rPr>
        <w:rFonts w:ascii="Arial" w:eastAsiaTheme="minorHAnsi" w:hAnsi="Arial" w:cs="Arial" w:hint="default"/>
        <w:b/>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7" w15:restartNumberingAfterBreak="0">
    <w:nsid w:val="30515789"/>
    <w:multiLevelType w:val="hybridMultilevel"/>
    <w:tmpl w:val="E0AE2A94"/>
    <w:lvl w:ilvl="0" w:tplc="C6B218AC">
      <w:start w:val="1"/>
      <w:numFmt w:val="bullet"/>
      <w:pStyle w:val="StilBulletCrtica"/>
      <w:lvlText w:val=""/>
      <w:lvlJc w:val="left"/>
      <w:pPr>
        <w:ind w:left="927"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BC70C68"/>
    <w:multiLevelType w:val="hybridMultilevel"/>
    <w:tmpl w:val="6004E9C4"/>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9" w15:restartNumberingAfterBreak="0">
    <w:nsid w:val="3C7641B4"/>
    <w:multiLevelType w:val="hybridMultilevel"/>
    <w:tmpl w:val="BF8CE690"/>
    <w:lvl w:ilvl="0" w:tplc="49E8C3D8">
      <w:numFmt w:val="bullet"/>
      <w:lvlText w:val="-"/>
      <w:lvlJc w:val="left"/>
      <w:pPr>
        <w:ind w:left="927" w:hanging="360"/>
      </w:pPr>
      <w:rPr>
        <w:rFonts w:ascii="Arial" w:eastAsiaTheme="minorHAnsi" w:hAnsi="Arial" w:cs="Arial" w:hint="default"/>
        <w:b/>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0" w15:restartNumberingAfterBreak="0">
    <w:nsid w:val="45830674"/>
    <w:multiLevelType w:val="hybridMultilevel"/>
    <w:tmpl w:val="84C63B2A"/>
    <w:lvl w:ilvl="0" w:tplc="A3AEEA10">
      <w:numFmt w:val="bullet"/>
      <w:lvlText w:val="–"/>
      <w:lvlJc w:val="left"/>
      <w:pPr>
        <w:ind w:left="720" w:hanging="360"/>
      </w:pPr>
      <w:rPr>
        <w:rFonts w:ascii="Times New Roman" w:eastAsia="Times New Roma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6850E56"/>
    <w:multiLevelType w:val="hybridMultilevel"/>
    <w:tmpl w:val="ED545CA2"/>
    <w:lvl w:ilvl="0" w:tplc="937EC10E">
      <w:numFmt w:val="bullet"/>
      <w:lvlText w:val="–"/>
      <w:lvlJc w:val="left"/>
      <w:pPr>
        <w:ind w:left="927" w:hanging="360"/>
      </w:pPr>
      <w:rPr>
        <w:rFonts w:ascii="Bookman Old Style" w:eastAsia="Times New Roman" w:hAnsi="Bookman Old Style" w:cs="Bookman Old Style" w:hint="default"/>
        <w:color w:val="auto"/>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2" w15:restartNumberingAfterBreak="0">
    <w:nsid w:val="473621B4"/>
    <w:multiLevelType w:val="hybridMultilevel"/>
    <w:tmpl w:val="33521846"/>
    <w:lvl w:ilvl="0" w:tplc="F5740A22">
      <w:numFmt w:val="bullet"/>
      <w:lvlText w:val="–"/>
      <w:lvlJc w:val="left"/>
      <w:pPr>
        <w:ind w:left="930" w:hanging="360"/>
      </w:pPr>
      <w:rPr>
        <w:rFonts w:ascii="Bookman Old Style" w:eastAsia="Calibri" w:hAnsi="Bookman Old Style" w:cs="Times New Roman" w:hint="default"/>
        <w:sz w:val="24"/>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13" w15:restartNumberingAfterBreak="0">
    <w:nsid w:val="4B611937"/>
    <w:multiLevelType w:val="hybridMultilevel"/>
    <w:tmpl w:val="B1DCE1AC"/>
    <w:lvl w:ilvl="0" w:tplc="DD6400F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55B5219"/>
    <w:multiLevelType w:val="hybridMultilevel"/>
    <w:tmpl w:val="BF1629FC"/>
    <w:lvl w:ilvl="0" w:tplc="A3AEEA10">
      <w:numFmt w:val="bullet"/>
      <w:lvlText w:val="–"/>
      <w:lvlJc w:val="left"/>
      <w:pPr>
        <w:ind w:left="1287" w:hanging="360"/>
      </w:pPr>
      <w:rPr>
        <w:rFonts w:ascii="Times New Roman" w:eastAsia="Times New Roman" w:hAnsi="Times New Roman" w:cs="Times New Roman" w:hint="default"/>
        <w:b w:val="0"/>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5" w15:restartNumberingAfterBreak="0">
    <w:nsid w:val="57B74182"/>
    <w:multiLevelType w:val="hybridMultilevel"/>
    <w:tmpl w:val="7D5CB436"/>
    <w:lvl w:ilvl="0" w:tplc="97703E32">
      <w:numFmt w:val="bullet"/>
      <w:lvlText w:val="–"/>
      <w:lvlJc w:val="left"/>
      <w:pPr>
        <w:ind w:left="1080" w:hanging="360"/>
      </w:pPr>
      <w:rPr>
        <w:rFonts w:ascii="Arial" w:eastAsiaTheme="minorHAns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5F1C1193"/>
    <w:multiLevelType w:val="hybridMultilevel"/>
    <w:tmpl w:val="771C118E"/>
    <w:lvl w:ilvl="0" w:tplc="E1FC05D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004530B"/>
    <w:multiLevelType w:val="hybridMultilevel"/>
    <w:tmpl w:val="476E9950"/>
    <w:lvl w:ilvl="0" w:tplc="DD6400FA">
      <w:numFmt w:val="bullet"/>
      <w:lvlText w:val="–"/>
      <w:lvlJc w:val="left"/>
      <w:pPr>
        <w:ind w:left="1287" w:hanging="360"/>
      </w:pPr>
      <w:rPr>
        <w:rFonts w:ascii="Arial" w:eastAsia="Times New Roman" w:hAnsi="Arial" w:cs="Arial" w:hint="default"/>
        <w:sz w:val="24"/>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8" w15:restartNumberingAfterBreak="0">
    <w:nsid w:val="695B0410"/>
    <w:multiLevelType w:val="hybridMultilevel"/>
    <w:tmpl w:val="7D48D3F2"/>
    <w:lvl w:ilvl="0" w:tplc="0018EE96">
      <w:numFmt w:val="bullet"/>
      <w:lvlText w:val="–"/>
      <w:lvlJc w:val="left"/>
      <w:pPr>
        <w:ind w:left="6173" w:hanging="360"/>
      </w:pPr>
      <w:rPr>
        <w:rFonts w:ascii="Bookman Old Style" w:eastAsiaTheme="minorHAnsi" w:hAnsi="Bookman Old Style" w:cstheme="minorBidi"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9" w15:restartNumberingAfterBreak="0">
    <w:nsid w:val="6E8E0618"/>
    <w:multiLevelType w:val="hybridMultilevel"/>
    <w:tmpl w:val="D8E08A52"/>
    <w:lvl w:ilvl="0" w:tplc="F43A1CB2">
      <w:numFmt w:val="bullet"/>
      <w:lvlText w:val="–"/>
      <w:lvlJc w:val="left"/>
      <w:pPr>
        <w:ind w:left="1429" w:hanging="360"/>
      </w:pPr>
      <w:rPr>
        <w:rFonts w:ascii="Arial" w:eastAsia="Arial" w:hAnsi="Arial" w:cs="Arial" w:hint="default"/>
        <w:i w:val="0"/>
      </w:rPr>
    </w:lvl>
    <w:lvl w:ilvl="1" w:tplc="041A0003">
      <w:start w:val="1"/>
      <w:numFmt w:val="bullet"/>
      <w:lvlText w:val="o"/>
      <w:lvlJc w:val="left"/>
      <w:pPr>
        <w:ind w:left="1637"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0" w15:restartNumberingAfterBreak="0">
    <w:nsid w:val="6FC228CE"/>
    <w:multiLevelType w:val="hybridMultilevel"/>
    <w:tmpl w:val="CF94FE76"/>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1" w15:restartNumberingAfterBreak="0">
    <w:nsid w:val="721D1DDF"/>
    <w:multiLevelType w:val="hybridMultilevel"/>
    <w:tmpl w:val="539CD71C"/>
    <w:lvl w:ilvl="0" w:tplc="F43A1CB2">
      <w:numFmt w:val="bullet"/>
      <w:lvlText w:val="–"/>
      <w:lvlJc w:val="left"/>
      <w:pPr>
        <w:ind w:left="720" w:hanging="360"/>
      </w:pPr>
      <w:rPr>
        <w:rFonts w:ascii="Arial" w:eastAsia="Arial" w:hAnsi="Arial" w:cs="Arial"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38C0BD8"/>
    <w:multiLevelType w:val="hybridMultilevel"/>
    <w:tmpl w:val="1464B850"/>
    <w:lvl w:ilvl="0" w:tplc="F43A1CB2">
      <w:numFmt w:val="bullet"/>
      <w:lvlText w:val="–"/>
      <w:lvlJc w:val="left"/>
      <w:pPr>
        <w:ind w:left="1287" w:hanging="360"/>
      </w:pPr>
      <w:rPr>
        <w:rFonts w:ascii="Arial" w:eastAsia="Arial" w:hAnsi="Arial" w:cs="Arial" w:hint="default"/>
        <w:i w:val="0"/>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3" w15:restartNumberingAfterBreak="0">
    <w:nsid w:val="74F066ED"/>
    <w:multiLevelType w:val="hybridMultilevel"/>
    <w:tmpl w:val="628028E8"/>
    <w:lvl w:ilvl="0" w:tplc="6EF65182">
      <w:numFmt w:val="bullet"/>
      <w:lvlText w:val="-"/>
      <w:lvlJc w:val="left"/>
      <w:pPr>
        <w:ind w:left="927" w:hanging="360"/>
      </w:pPr>
      <w:rPr>
        <w:rFonts w:ascii="Arial" w:eastAsiaTheme="minorHAnsi" w:hAnsi="Arial"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4" w15:restartNumberingAfterBreak="0">
    <w:nsid w:val="7EE610EC"/>
    <w:multiLevelType w:val="hybridMultilevel"/>
    <w:tmpl w:val="DD0004B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
  </w:num>
  <w:num w:numId="4">
    <w:abstractNumId w:val="13"/>
  </w:num>
  <w:num w:numId="5">
    <w:abstractNumId w:val="15"/>
  </w:num>
  <w:num w:numId="6">
    <w:abstractNumId w:val="22"/>
  </w:num>
  <w:num w:numId="7">
    <w:abstractNumId w:val="21"/>
  </w:num>
  <w:num w:numId="8">
    <w:abstractNumId w:val="19"/>
  </w:num>
  <w:num w:numId="9">
    <w:abstractNumId w:val="17"/>
  </w:num>
  <w:num w:numId="10">
    <w:abstractNumId w:val="3"/>
  </w:num>
  <w:num w:numId="11">
    <w:abstractNumId w:val="6"/>
  </w:num>
  <w:num w:numId="12">
    <w:abstractNumId w:val="9"/>
  </w:num>
  <w:num w:numId="13">
    <w:abstractNumId w:val="23"/>
  </w:num>
  <w:num w:numId="14">
    <w:abstractNumId w:val="16"/>
  </w:num>
  <w:num w:numId="15">
    <w:abstractNumId w:val="18"/>
  </w:num>
  <w:num w:numId="16">
    <w:abstractNumId w:val="11"/>
  </w:num>
  <w:num w:numId="17">
    <w:abstractNumId w:val="5"/>
  </w:num>
  <w:num w:numId="18">
    <w:abstractNumId w:val="0"/>
  </w:num>
  <w:num w:numId="19">
    <w:abstractNumId w:val="2"/>
  </w:num>
  <w:num w:numId="20">
    <w:abstractNumId w:val="24"/>
  </w:num>
  <w:num w:numId="21">
    <w:abstractNumId w:val="4"/>
  </w:num>
  <w:num w:numId="22">
    <w:abstractNumId w:val="20"/>
  </w:num>
  <w:num w:numId="23">
    <w:abstractNumId w:val="8"/>
  </w:num>
  <w:num w:numId="24">
    <w:abstractNumId w:val="10"/>
  </w:num>
  <w:num w:numId="2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40B"/>
    <w:rsid w:val="000000BD"/>
    <w:rsid w:val="00002539"/>
    <w:rsid w:val="00002793"/>
    <w:rsid w:val="00004907"/>
    <w:rsid w:val="000057C9"/>
    <w:rsid w:val="000058AD"/>
    <w:rsid w:val="00006C5C"/>
    <w:rsid w:val="00006DD7"/>
    <w:rsid w:val="0000736A"/>
    <w:rsid w:val="000123F8"/>
    <w:rsid w:val="000141BC"/>
    <w:rsid w:val="00016883"/>
    <w:rsid w:val="000242F6"/>
    <w:rsid w:val="000250F8"/>
    <w:rsid w:val="00026992"/>
    <w:rsid w:val="00027CA3"/>
    <w:rsid w:val="0003040A"/>
    <w:rsid w:val="0003398F"/>
    <w:rsid w:val="00043311"/>
    <w:rsid w:val="00044757"/>
    <w:rsid w:val="00044AE2"/>
    <w:rsid w:val="000451D0"/>
    <w:rsid w:val="00045A1E"/>
    <w:rsid w:val="00047341"/>
    <w:rsid w:val="00056100"/>
    <w:rsid w:val="00056D0B"/>
    <w:rsid w:val="00060DDE"/>
    <w:rsid w:val="0006487E"/>
    <w:rsid w:val="00065ED1"/>
    <w:rsid w:val="00070056"/>
    <w:rsid w:val="00070FF6"/>
    <w:rsid w:val="00071946"/>
    <w:rsid w:val="00072491"/>
    <w:rsid w:val="00076E73"/>
    <w:rsid w:val="000775DE"/>
    <w:rsid w:val="000807A5"/>
    <w:rsid w:val="0008114F"/>
    <w:rsid w:val="0008465D"/>
    <w:rsid w:val="00084FA5"/>
    <w:rsid w:val="00085E29"/>
    <w:rsid w:val="00094103"/>
    <w:rsid w:val="00096B45"/>
    <w:rsid w:val="00097A27"/>
    <w:rsid w:val="000A29AD"/>
    <w:rsid w:val="000A3FB4"/>
    <w:rsid w:val="000B518D"/>
    <w:rsid w:val="000B773D"/>
    <w:rsid w:val="000B7B7D"/>
    <w:rsid w:val="000C15A6"/>
    <w:rsid w:val="000C1EDF"/>
    <w:rsid w:val="000C20C9"/>
    <w:rsid w:val="000C2CD7"/>
    <w:rsid w:val="000D0643"/>
    <w:rsid w:val="000D06C9"/>
    <w:rsid w:val="000D0AD3"/>
    <w:rsid w:val="000D3A51"/>
    <w:rsid w:val="000D3F85"/>
    <w:rsid w:val="000D626A"/>
    <w:rsid w:val="000E0B66"/>
    <w:rsid w:val="000E1845"/>
    <w:rsid w:val="000E1953"/>
    <w:rsid w:val="000E1DCD"/>
    <w:rsid w:val="000E1FD8"/>
    <w:rsid w:val="000E312B"/>
    <w:rsid w:val="000E790D"/>
    <w:rsid w:val="000F3004"/>
    <w:rsid w:val="000F44D6"/>
    <w:rsid w:val="000F4DA3"/>
    <w:rsid w:val="000F5923"/>
    <w:rsid w:val="000F6092"/>
    <w:rsid w:val="000F645E"/>
    <w:rsid w:val="000F6943"/>
    <w:rsid w:val="00101082"/>
    <w:rsid w:val="00102D00"/>
    <w:rsid w:val="001103B2"/>
    <w:rsid w:val="00110ED2"/>
    <w:rsid w:val="00114105"/>
    <w:rsid w:val="0011690A"/>
    <w:rsid w:val="00122A9A"/>
    <w:rsid w:val="001239B9"/>
    <w:rsid w:val="00125007"/>
    <w:rsid w:val="001262C4"/>
    <w:rsid w:val="00126EE1"/>
    <w:rsid w:val="0013204B"/>
    <w:rsid w:val="001328A7"/>
    <w:rsid w:val="00132B58"/>
    <w:rsid w:val="001366D9"/>
    <w:rsid w:val="00136C10"/>
    <w:rsid w:val="00137CDA"/>
    <w:rsid w:val="00141584"/>
    <w:rsid w:val="00142499"/>
    <w:rsid w:val="00142787"/>
    <w:rsid w:val="00147088"/>
    <w:rsid w:val="001505B6"/>
    <w:rsid w:val="0015107E"/>
    <w:rsid w:val="00151560"/>
    <w:rsid w:val="0015358D"/>
    <w:rsid w:val="0015364B"/>
    <w:rsid w:val="001540BE"/>
    <w:rsid w:val="00157A8E"/>
    <w:rsid w:val="00160D33"/>
    <w:rsid w:val="00160DE1"/>
    <w:rsid w:val="00161030"/>
    <w:rsid w:val="0016108A"/>
    <w:rsid w:val="0016170C"/>
    <w:rsid w:val="00161B45"/>
    <w:rsid w:val="001644F1"/>
    <w:rsid w:val="001649E4"/>
    <w:rsid w:val="00165144"/>
    <w:rsid w:val="00166055"/>
    <w:rsid w:val="0016688D"/>
    <w:rsid w:val="001714B9"/>
    <w:rsid w:val="001715AE"/>
    <w:rsid w:val="00173AC3"/>
    <w:rsid w:val="001775EC"/>
    <w:rsid w:val="0018148C"/>
    <w:rsid w:val="0018388D"/>
    <w:rsid w:val="00183A86"/>
    <w:rsid w:val="00183B4C"/>
    <w:rsid w:val="0018415E"/>
    <w:rsid w:val="001848E2"/>
    <w:rsid w:val="0018760D"/>
    <w:rsid w:val="0019240F"/>
    <w:rsid w:val="00194E75"/>
    <w:rsid w:val="001960AF"/>
    <w:rsid w:val="0019637E"/>
    <w:rsid w:val="001977DD"/>
    <w:rsid w:val="001A086A"/>
    <w:rsid w:val="001A210D"/>
    <w:rsid w:val="001A2A58"/>
    <w:rsid w:val="001A2E91"/>
    <w:rsid w:val="001A5868"/>
    <w:rsid w:val="001B03BB"/>
    <w:rsid w:val="001B0DD7"/>
    <w:rsid w:val="001B46C7"/>
    <w:rsid w:val="001B7037"/>
    <w:rsid w:val="001C1EA4"/>
    <w:rsid w:val="001C2236"/>
    <w:rsid w:val="001C2CDA"/>
    <w:rsid w:val="001C5412"/>
    <w:rsid w:val="001C67A2"/>
    <w:rsid w:val="001D0594"/>
    <w:rsid w:val="001D0E91"/>
    <w:rsid w:val="001D2180"/>
    <w:rsid w:val="001D3ACF"/>
    <w:rsid w:val="001D4F29"/>
    <w:rsid w:val="001D5B8A"/>
    <w:rsid w:val="001E277F"/>
    <w:rsid w:val="001E410A"/>
    <w:rsid w:val="001E5C93"/>
    <w:rsid w:val="001F081E"/>
    <w:rsid w:val="001F0F8D"/>
    <w:rsid w:val="001F3738"/>
    <w:rsid w:val="00200861"/>
    <w:rsid w:val="002015F5"/>
    <w:rsid w:val="00202CC3"/>
    <w:rsid w:val="00203347"/>
    <w:rsid w:val="00203B91"/>
    <w:rsid w:val="00204F02"/>
    <w:rsid w:val="00206C7C"/>
    <w:rsid w:val="002075CF"/>
    <w:rsid w:val="002101C4"/>
    <w:rsid w:val="002104D5"/>
    <w:rsid w:val="002121A0"/>
    <w:rsid w:val="002126EC"/>
    <w:rsid w:val="002130D4"/>
    <w:rsid w:val="00215339"/>
    <w:rsid w:val="00222C44"/>
    <w:rsid w:val="00222DE1"/>
    <w:rsid w:val="002243CA"/>
    <w:rsid w:val="00226451"/>
    <w:rsid w:val="00226C3B"/>
    <w:rsid w:val="00227FAA"/>
    <w:rsid w:val="002322FC"/>
    <w:rsid w:val="0023340B"/>
    <w:rsid w:val="00234BF7"/>
    <w:rsid w:val="00236D26"/>
    <w:rsid w:val="0024058F"/>
    <w:rsid w:val="00243586"/>
    <w:rsid w:val="0024379A"/>
    <w:rsid w:val="00244BDE"/>
    <w:rsid w:val="00245314"/>
    <w:rsid w:val="00245918"/>
    <w:rsid w:val="00246E11"/>
    <w:rsid w:val="002505E7"/>
    <w:rsid w:val="0025298B"/>
    <w:rsid w:val="002601FA"/>
    <w:rsid w:val="00262363"/>
    <w:rsid w:val="00262717"/>
    <w:rsid w:val="00262D3F"/>
    <w:rsid w:val="00263A41"/>
    <w:rsid w:val="00264769"/>
    <w:rsid w:val="00271585"/>
    <w:rsid w:val="00280698"/>
    <w:rsid w:val="002823D2"/>
    <w:rsid w:val="0028347D"/>
    <w:rsid w:val="00286B0E"/>
    <w:rsid w:val="00287DEF"/>
    <w:rsid w:val="00290D5A"/>
    <w:rsid w:val="00291DCC"/>
    <w:rsid w:val="0029606A"/>
    <w:rsid w:val="00296C72"/>
    <w:rsid w:val="00297FF4"/>
    <w:rsid w:val="002A14A8"/>
    <w:rsid w:val="002A375B"/>
    <w:rsid w:val="002A7B80"/>
    <w:rsid w:val="002B2252"/>
    <w:rsid w:val="002B40BE"/>
    <w:rsid w:val="002C07E5"/>
    <w:rsid w:val="002C2016"/>
    <w:rsid w:val="002C316E"/>
    <w:rsid w:val="002C3F6E"/>
    <w:rsid w:val="002C4C65"/>
    <w:rsid w:val="002D0C11"/>
    <w:rsid w:val="002D5D76"/>
    <w:rsid w:val="002D63C6"/>
    <w:rsid w:val="002E45DA"/>
    <w:rsid w:val="002E52A8"/>
    <w:rsid w:val="002E5406"/>
    <w:rsid w:val="002E6A0F"/>
    <w:rsid w:val="002E6DA4"/>
    <w:rsid w:val="002F05B9"/>
    <w:rsid w:val="002F0635"/>
    <w:rsid w:val="002F06BB"/>
    <w:rsid w:val="002F104A"/>
    <w:rsid w:val="002F3BB7"/>
    <w:rsid w:val="002F5456"/>
    <w:rsid w:val="00302275"/>
    <w:rsid w:val="00303B06"/>
    <w:rsid w:val="003049ED"/>
    <w:rsid w:val="00305F14"/>
    <w:rsid w:val="0030749A"/>
    <w:rsid w:val="00310DC0"/>
    <w:rsid w:val="00312A9C"/>
    <w:rsid w:val="00312FB0"/>
    <w:rsid w:val="00315480"/>
    <w:rsid w:val="00316343"/>
    <w:rsid w:val="003205DC"/>
    <w:rsid w:val="00320A51"/>
    <w:rsid w:val="00320F90"/>
    <w:rsid w:val="00321555"/>
    <w:rsid w:val="00324820"/>
    <w:rsid w:val="00324D33"/>
    <w:rsid w:val="00326DD7"/>
    <w:rsid w:val="00327E16"/>
    <w:rsid w:val="00331AFD"/>
    <w:rsid w:val="00340701"/>
    <w:rsid w:val="00341EB6"/>
    <w:rsid w:val="00345BD8"/>
    <w:rsid w:val="00351203"/>
    <w:rsid w:val="00351870"/>
    <w:rsid w:val="0035432C"/>
    <w:rsid w:val="00354CAD"/>
    <w:rsid w:val="003629F7"/>
    <w:rsid w:val="00362A16"/>
    <w:rsid w:val="003679D5"/>
    <w:rsid w:val="003705E1"/>
    <w:rsid w:val="0037126B"/>
    <w:rsid w:val="00372485"/>
    <w:rsid w:val="0037498F"/>
    <w:rsid w:val="00375FD6"/>
    <w:rsid w:val="00377D20"/>
    <w:rsid w:val="003800B6"/>
    <w:rsid w:val="00382109"/>
    <w:rsid w:val="00382E6E"/>
    <w:rsid w:val="00384038"/>
    <w:rsid w:val="00387844"/>
    <w:rsid w:val="00387C57"/>
    <w:rsid w:val="0039002F"/>
    <w:rsid w:val="003923A4"/>
    <w:rsid w:val="003930E9"/>
    <w:rsid w:val="0039583F"/>
    <w:rsid w:val="003958EE"/>
    <w:rsid w:val="003966B6"/>
    <w:rsid w:val="003975C0"/>
    <w:rsid w:val="003A1289"/>
    <w:rsid w:val="003A5A49"/>
    <w:rsid w:val="003A6CF2"/>
    <w:rsid w:val="003B3419"/>
    <w:rsid w:val="003B4728"/>
    <w:rsid w:val="003B4E3F"/>
    <w:rsid w:val="003C1D32"/>
    <w:rsid w:val="003C4012"/>
    <w:rsid w:val="003C43D1"/>
    <w:rsid w:val="003C4E95"/>
    <w:rsid w:val="003C7DE0"/>
    <w:rsid w:val="003D6696"/>
    <w:rsid w:val="003D74FC"/>
    <w:rsid w:val="003E259E"/>
    <w:rsid w:val="003E2E9C"/>
    <w:rsid w:val="003E3EDC"/>
    <w:rsid w:val="003E527C"/>
    <w:rsid w:val="003E5AC9"/>
    <w:rsid w:val="003E5D1C"/>
    <w:rsid w:val="003E7EA4"/>
    <w:rsid w:val="003F016D"/>
    <w:rsid w:val="003F365B"/>
    <w:rsid w:val="003F5640"/>
    <w:rsid w:val="003F6E53"/>
    <w:rsid w:val="004028F8"/>
    <w:rsid w:val="00402C91"/>
    <w:rsid w:val="004049E0"/>
    <w:rsid w:val="00411CAB"/>
    <w:rsid w:val="0041328B"/>
    <w:rsid w:val="00421E66"/>
    <w:rsid w:val="00422D19"/>
    <w:rsid w:val="004230B5"/>
    <w:rsid w:val="00423EBC"/>
    <w:rsid w:val="0042574C"/>
    <w:rsid w:val="00425B82"/>
    <w:rsid w:val="0042683A"/>
    <w:rsid w:val="00426CCE"/>
    <w:rsid w:val="0043069A"/>
    <w:rsid w:val="004310FA"/>
    <w:rsid w:val="00431DAA"/>
    <w:rsid w:val="00431E53"/>
    <w:rsid w:val="0043276B"/>
    <w:rsid w:val="00433A68"/>
    <w:rsid w:val="004367C9"/>
    <w:rsid w:val="0044093B"/>
    <w:rsid w:val="0044464E"/>
    <w:rsid w:val="00444A5A"/>
    <w:rsid w:val="00444F7A"/>
    <w:rsid w:val="004461BD"/>
    <w:rsid w:val="00450957"/>
    <w:rsid w:val="00450AE6"/>
    <w:rsid w:val="0045163E"/>
    <w:rsid w:val="00456620"/>
    <w:rsid w:val="00457AF2"/>
    <w:rsid w:val="00457EB3"/>
    <w:rsid w:val="0046036A"/>
    <w:rsid w:val="00463408"/>
    <w:rsid w:val="004639B8"/>
    <w:rsid w:val="00463D0B"/>
    <w:rsid w:val="00471917"/>
    <w:rsid w:val="00473659"/>
    <w:rsid w:val="00474161"/>
    <w:rsid w:val="0047557E"/>
    <w:rsid w:val="0047567F"/>
    <w:rsid w:val="00475AB9"/>
    <w:rsid w:val="0047739A"/>
    <w:rsid w:val="00477F4D"/>
    <w:rsid w:val="00483947"/>
    <w:rsid w:val="00484E81"/>
    <w:rsid w:val="00486718"/>
    <w:rsid w:val="00491FE8"/>
    <w:rsid w:val="004967E3"/>
    <w:rsid w:val="00497DAB"/>
    <w:rsid w:val="004A313D"/>
    <w:rsid w:val="004A452E"/>
    <w:rsid w:val="004A54F2"/>
    <w:rsid w:val="004A57C2"/>
    <w:rsid w:val="004A6D85"/>
    <w:rsid w:val="004B1186"/>
    <w:rsid w:val="004B15A2"/>
    <w:rsid w:val="004B1DC9"/>
    <w:rsid w:val="004B233F"/>
    <w:rsid w:val="004B26CD"/>
    <w:rsid w:val="004B2A6B"/>
    <w:rsid w:val="004B3644"/>
    <w:rsid w:val="004B3B01"/>
    <w:rsid w:val="004B470D"/>
    <w:rsid w:val="004B47E2"/>
    <w:rsid w:val="004B6C6B"/>
    <w:rsid w:val="004B7932"/>
    <w:rsid w:val="004B7970"/>
    <w:rsid w:val="004C236A"/>
    <w:rsid w:val="004C2BA4"/>
    <w:rsid w:val="004C4161"/>
    <w:rsid w:val="004C6299"/>
    <w:rsid w:val="004C62A8"/>
    <w:rsid w:val="004C6B46"/>
    <w:rsid w:val="004D1A26"/>
    <w:rsid w:val="004D24EA"/>
    <w:rsid w:val="004D2D5D"/>
    <w:rsid w:val="004D405C"/>
    <w:rsid w:val="004D487A"/>
    <w:rsid w:val="004D6792"/>
    <w:rsid w:val="004E2192"/>
    <w:rsid w:val="004E24AC"/>
    <w:rsid w:val="004E432D"/>
    <w:rsid w:val="004E4DD1"/>
    <w:rsid w:val="004E51ED"/>
    <w:rsid w:val="004E6097"/>
    <w:rsid w:val="004E7E5C"/>
    <w:rsid w:val="004F0C09"/>
    <w:rsid w:val="004F1C5E"/>
    <w:rsid w:val="004F39CC"/>
    <w:rsid w:val="004F405D"/>
    <w:rsid w:val="004F4416"/>
    <w:rsid w:val="004F5883"/>
    <w:rsid w:val="005027B3"/>
    <w:rsid w:val="00505485"/>
    <w:rsid w:val="0051035F"/>
    <w:rsid w:val="00513D99"/>
    <w:rsid w:val="005160D2"/>
    <w:rsid w:val="0052309C"/>
    <w:rsid w:val="005235D2"/>
    <w:rsid w:val="0052363A"/>
    <w:rsid w:val="00524549"/>
    <w:rsid w:val="00526E8F"/>
    <w:rsid w:val="00527B97"/>
    <w:rsid w:val="00530F57"/>
    <w:rsid w:val="005314A3"/>
    <w:rsid w:val="00533CFF"/>
    <w:rsid w:val="00534C42"/>
    <w:rsid w:val="00536163"/>
    <w:rsid w:val="00536CB9"/>
    <w:rsid w:val="005374E3"/>
    <w:rsid w:val="00541473"/>
    <w:rsid w:val="00543798"/>
    <w:rsid w:val="005440FA"/>
    <w:rsid w:val="00547AA1"/>
    <w:rsid w:val="005521BA"/>
    <w:rsid w:val="005522E6"/>
    <w:rsid w:val="00557026"/>
    <w:rsid w:val="00562AC1"/>
    <w:rsid w:val="00566CFB"/>
    <w:rsid w:val="0057018B"/>
    <w:rsid w:val="0057132E"/>
    <w:rsid w:val="00573E27"/>
    <w:rsid w:val="005743DD"/>
    <w:rsid w:val="00575834"/>
    <w:rsid w:val="0058355E"/>
    <w:rsid w:val="0058449E"/>
    <w:rsid w:val="00584E43"/>
    <w:rsid w:val="00585DA9"/>
    <w:rsid w:val="00585DAC"/>
    <w:rsid w:val="00590658"/>
    <w:rsid w:val="00590779"/>
    <w:rsid w:val="00591897"/>
    <w:rsid w:val="00594CD9"/>
    <w:rsid w:val="005A1E4B"/>
    <w:rsid w:val="005A6B6B"/>
    <w:rsid w:val="005B0D80"/>
    <w:rsid w:val="005B339A"/>
    <w:rsid w:val="005B3745"/>
    <w:rsid w:val="005B4C81"/>
    <w:rsid w:val="005B5241"/>
    <w:rsid w:val="005B6DAE"/>
    <w:rsid w:val="005C14E0"/>
    <w:rsid w:val="005C1F78"/>
    <w:rsid w:val="005C2626"/>
    <w:rsid w:val="005C44E3"/>
    <w:rsid w:val="005C4BD6"/>
    <w:rsid w:val="005C4E43"/>
    <w:rsid w:val="005C596B"/>
    <w:rsid w:val="005C5B96"/>
    <w:rsid w:val="005C6150"/>
    <w:rsid w:val="005C704E"/>
    <w:rsid w:val="005C71CA"/>
    <w:rsid w:val="005C74BD"/>
    <w:rsid w:val="005D24E3"/>
    <w:rsid w:val="005D26B4"/>
    <w:rsid w:val="005D398E"/>
    <w:rsid w:val="005E064F"/>
    <w:rsid w:val="005E2C72"/>
    <w:rsid w:val="005E3602"/>
    <w:rsid w:val="005E4C07"/>
    <w:rsid w:val="005E4C52"/>
    <w:rsid w:val="005E5681"/>
    <w:rsid w:val="005E579E"/>
    <w:rsid w:val="005F028A"/>
    <w:rsid w:val="005F1449"/>
    <w:rsid w:val="005F3769"/>
    <w:rsid w:val="005F45C8"/>
    <w:rsid w:val="00600A72"/>
    <w:rsid w:val="00602D53"/>
    <w:rsid w:val="00602E68"/>
    <w:rsid w:val="00610D59"/>
    <w:rsid w:val="006111E9"/>
    <w:rsid w:val="0061190F"/>
    <w:rsid w:val="00611BAD"/>
    <w:rsid w:val="006128F8"/>
    <w:rsid w:val="0061646B"/>
    <w:rsid w:val="00617765"/>
    <w:rsid w:val="0062635B"/>
    <w:rsid w:val="00630053"/>
    <w:rsid w:val="006302D5"/>
    <w:rsid w:val="00630B21"/>
    <w:rsid w:val="0063131B"/>
    <w:rsid w:val="00632403"/>
    <w:rsid w:val="006350CB"/>
    <w:rsid w:val="00635581"/>
    <w:rsid w:val="00635CB1"/>
    <w:rsid w:val="00637811"/>
    <w:rsid w:val="00647A25"/>
    <w:rsid w:val="006515F6"/>
    <w:rsid w:val="00651ACB"/>
    <w:rsid w:val="00655ED4"/>
    <w:rsid w:val="006577AD"/>
    <w:rsid w:val="0066006A"/>
    <w:rsid w:val="006610DD"/>
    <w:rsid w:val="00662A84"/>
    <w:rsid w:val="00663773"/>
    <w:rsid w:val="0066683A"/>
    <w:rsid w:val="006705F9"/>
    <w:rsid w:val="00671132"/>
    <w:rsid w:val="00672D99"/>
    <w:rsid w:val="00673F53"/>
    <w:rsid w:val="00674F3A"/>
    <w:rsid w:val="00677179"/>
    <w:rsid w:val="006855E8"/>
    <w:rsid w:val="0068565F"/>
    <w:rsid w:val="006857E1"/>
    <w:rsid w:val="00693029"/>
    <w:rsid w:val="0069369C"/>
    <w:rsid w:val="006A3B73"/>
    <w:rsid w:val="006A6516"/>
    <w:rsid w:val="006A66E5"/>
    <w:rsid w:val="006B0BB3"/>
    <w:rsid w:val="006B161E"/>
    <w:rsid w:val="006B64B0"/>
    <w:rsid w:val="006B6863"/>
    <w:rsid w:val="006B743A"/>
    <w:rsid w:val="006B7D1D"/>
    <w:rsid w:val="006C0EC1"/>
    <w:rsid w:val="006C1BD8"/>
    <w:rsid w:val="006C27ED"/>
    <w:rsid w:val="006C7599"/>
    <w:rsid w:val="006C7C14"/>
    <w:rsid w:val="006D1FF8"/>
    <w:rsid w:val="006D2CA5"/>
    <w:rsid w:val="006D35FC"/>
    <w:rsid w:val="006D4308"/>
    <w:rsid w:val="006D4315"/>
    <w:rsid w:val="006D4859"/>
    <w:rsid w:val="006D5309"/>
    <w:rsid w:val="006E2EB5"/>
    <w:rsid w:val="006E3009"/>
    <w:rsid w:val="006E4D92"/>
    <w:rsid w:val="006E51AC"/>
    <w:rsid w:val="006E5C4D"/>
    <w:rsid w:val="006F0B69"/>
    <w:rsid w:val="006F1EC7"/>
    <w:rsid w:val="006F4C1D"/>
    <w:rsid w:val="006F60AD"/>
    <w:rsid w:val="006F6AA3"/>
    <w:rsid w:val="0070433A"/>
    <w:rsid w:val="00704B36"/>
    <w:rsid w:val="0070526F"/>
    <w:rsid w:val="007053C0"/>
    <w:rsid w:val="0071161A"/>
    <w:rsid w:val="0071367D"/>
    <w:rsid w:val="00714153"/>
    <w:rsid w:val="00715E40"/>
    <w:rsid w:val="007205C1"/>
    <w:rsid w:val="00724795"/>
    <w:rsid w:val="007249CA"/>
    <w:rsid w:val="00727A01"/>
    <w:rsid w:val="0073104E"/>
    <w:rsid w:val="00731069"/>
    <w:rsid w:val="007315CA"/>
    <w:rsid w:val="00733F2C"/>
    <w:rsid w:val="00734C1B"/>
    <w:rsid w:val="00735723"/>
    <w:rsid w:val="00735990"/>
    <w:rsid w:val="00737026"/>
    <w:rsid w:val="00745232"/>
    <w:rsid w:val="00745EF4"/>
    <w:rsid w:val="00745F83"/>
    <w:rsid w:val="00746DF6"/>
    <w:rsid w:val="00752331"/>
    <w:rsid w:val="00754590"/>
    <w:rsid w:val="00754AF5"/>
    <w:rsid w:val="00755759"/>
    <w:rsid w:val="00757E1E"/>
    <w:rsid w:val="00761E81"/>
    <w:rsid w:val="007624A0"/>
    <w:rsid w:val="00762DD9"/>
    <w:rsid w:val="00766A4F"/>
    <w:rsid w:val="00766FD0"/>
    <w:rsid w:val="007732A6"/>
    <w:rsid w:val="007737CB"/>
    <w:rsid w:val="00777188"/>
    <w:rsid w:val="00782C62"/>
    <w:rsid w:val="00787D52"/>
    <w:rsid w:val="007900A4"/>
    <w:rsid w:val="00790451"/>
    <w:rsid w:val="00791DDA"/>
    <w:rsid w:val="00792A3F"/>
    <w:rsid w:val="007938D2"/>
    <w:rsid w:val="0079450C"/>
    <w:rsid w:val="00794D8D"/>
    <w:rsid w:val="007A0139"/>
    <w:rsid w:val="007A0D71"/>
    <w:rsid w:val="007A1413"/>
    <w:rsid w:val="007A14C0"/>
    <w:rsid w:val="007A1F3A"/>
    <w:rsid w:val="007A5B5D"/>
    <w:rsid w:val="007B3AA9"/>
    <w:rsid w:val="007B414D"/>
    <w:rsid w:val="007B6BDB"/>
    <w:rsid w:val="007C021D"/>
    <w:rsid w:val="007C340B"/>
    <w:rsid w:val="007C685E"/>
    <w:rsid w:val="007D0255"/>
    <w:rsid w:val="007D4E06"/>
    <w:rsid w:val="007D57AC"/>
    <w:rsid w:val="007D60EF"/>
    <w:rsid w:val="007D6E44"/>
    <w:rsid w:val="007D6F1A"/>
    <w:rsid w:val="007D73FA"/>
    <w:rsid w:val="007E1891"/>
    <w:rsid w:val="007E2393"/>
    <w:rsid w:val="007E2FE5"/>
    <w:rsid w:val="007E3257"/>
    <w:rsid w:val="007E3D2A"/>
    <w:rsid w:val="007E52C5"/>
    <w:rsid w:val="007E5A53"/>
    <w:rsid w:val="007F0105"/>
    <w:rsid w:val="007F099B"/>
    <w:rsid w:val="007F1A1D"/>
    <w:rsid w:val="007F5618"/>
    <w:rsid w:val="0080096C"/>
    <w:rsid w:val="00800A2B"/>
    <w:rsid w:val="00803265"/>
    <w:rsid w:val="008059D8"/>
    <w:rsid w:val="00807334"/>
    <w:rsid w:val="008118B7"/>
    <w:rsid w:val="0081290E"/>
    <w:rsid w:val="00813633"/>
    <w:rsid w:val="0081368B"/>
    <w:rsid w:val="00820BCA"/>
    <w:rsid w:val="008220FA"/>
    <w:rsid w:val="008224F7"/>
    <w:rsid w:val="00822B57"/>
    <w:rsid w:val="008330DC"/>
    <w:rsid w:val="00836654"/>
    <w:rsid w:val="00837140"/>
    <w:rsid w:val="00840024"/>
    <w:rsid w:val="008424EB"/>
    <w:rsid w:val="00842AA3"/>
    <w:rsid w:val="008449C2"/>
    <w:rsid w:val="008454AE"/>
    <w:rsid w:val="00845B83"/>
    <w:rsid w:val="008515A4"/>
    <w:rsid w:val="00852A1E"/>
    <w:rsid w:val="008548B8"/>
    <w:rsid w:val="00854E57"/>
    <w:rsid w:val="00855C90"/>
    <w:rsid w:val="0086005B"/>
    <w:rsid w:val="00860CC4"/>
    <w:rsid w:val="00862B16"/>
    <w:rsid w:val="008633A5"/>
    <w:rsid w:val="008633FF"/>
    <w:rsid w:val="008713E7"/>
    <w:rsid w:val="00871F13"/>
    <w:rsid w:val="008723FA"/>
    <w:rsid w:val="00873BAA"/>
    <w:rsid w:val="00883C61"/>
    <w:rsid w:val="0088521B"/>
    <w:rsid w:val="0088548E"/>
    <w:rsid w:val="0089132F"/>
    <w:rsid w:val="00891A8F"/>
    <w:rsid w:val="00892872"/>
    <w:rsid w:val="00892B37"/>
    <w:rsid w:val="00894B34"/>
    <w:rsid w:val="0089612B"/>
    <w:rsid w:val="008A03FD"/>
    <w:rsid w:val="008A06A5"/>
    <w:rsid w:val="008A5936"/>
    <w:rsid w:val="008B502E"/>
    <w:rsid w:val="008C0156"/>
    <w:rsid w:val="008C1850"/>
    <w:rsid w:val="008C1C06"/>
    <w:rsid w:val="008C53BB"/>
    <w:rsid w:val="008D2482"/>
    <w:rsid w:val="008D28BC"/>
    <w:rsid w:val="008D328E"/>
    <w:rsid w:val="008D5BD5"/>
    <w:rsid w:val="008E4E19"/>
    <w:rsid w:val="008F04EA"/>
    <w:rsid w:val="008F05A5"/>
    <w:rsid w:val="008F27A8"/>
    <w:rsid w:val="008F2B24"/>
    <w:rsid w:val="008F4732"/>
    <w:rsid w:val="008F6984"/>
    <w:rsid w:val="009007E8"/>
    <w:rsid w:val="00901349"/>
    <w:rsid w:val="009038CB"/>
    <w:rsid w:val="00904B77"/>
    <w:rsid w:val="009065B1"/>
    <w:rsid w:val="0091050D"/>
    <w:rsid w:val="00912856"/>
    <w:rsid w:val="009152C6"/>
    <w:rsid w:val="0092030B"/>
    <w:rsid w:val="009204ED"/>
    <w:rsid w:val="00921D9B"/>
    <w:rsid w:val="00921FB1"/>
    <w:rsid w:val="0092422C"/>
    <w:rsid w:val="00925940"/>
    <w:rsid w:val="00931031"/>
    <w:rsid w:val="009318E0"/>
    <w:rsid w:val="00933EAB"/>
    <w:rsid w:val="009347F6"/>
    <w:rsid w:val="00941E5F"/>
    <w:rsid w:val="0094586B"/>
    <w:rsid w:val="00945E78"/>
    <w:rsid w:val="00946CB1"/>
    <w:rsid w:val="009472E7"/>
    <w:rsid w:val="00950044"/>
    <w:rsid w:val="00951A71"/>
    <w:rsid w:val="00952B63"/>
    <w:rsid w:val="00952E5E"/>
    <w:rsid w:val="00953EE7"/>
    <w:rsid w:val="00953FBD"/>
    <w:rsid w:val="009565D9"/>
    <w:rsid w:val="009569A8"/>
    <w:rsid w:val="00956F8D"/>
    <w:rsid w:val="00957784"/>
    <w:rsid w:val="00961C67"/>
    <w:rsid w:val="00961E98"/>
    <w:rsid w:val="009623C4"/>
    <w:rsid w:val="00964431"/>
    <w:rsid w:val="00964493"/>
    <w:rsid w:val="0096580F"/>
    <w:rsid w:val="0097263D"/>
    <w:rsid w:val="00974939"/>
    <w:rsid w:val="00974957"/>
    <w:rsid w:val="009754E9"/>
    <w:rsid w:val="0097644E"/>
    <w:rsid w:val="00976767"/>
    <w:rsid w:val="00981226"/>
    <w:rsid w:val="009816FE"/>
    <w:rsid w:val="009829EA"/>
    <w:rsid w:val="00983AC3"/>
    <w:rsid w:val="00986C54"/>
    <w:rsid w:val="00987C41"/>
    <w:rsid w:val="009914F6"/>
    <w:rsid w:val="00991F4F"/>
    <w:rsid w:val="009927F0"/>
    <w:rsid w:val="0099395D"/>
    <w:rsid w:val="00994749"/>
    <w:rsid w:val="0099501B"/>
    <w:rsid w:val="0099732B"/>
    <w:rsid w:val="009A36F4"/>
    <w:rsid w:val="009A519B"/>
    <w:rsid w:val="009A5A81"/>
    <w:rsid w:val="009B066F"/>
    <w:rsid w:val="009B2FBF"/>
    <w:rsid w:val="009B4813"/>
    <w:rsid w:val="009C11D5"/>
    <w:rsid w:val="009C2F6C"/>
    <w:rsid w:val="009C4886"/>
    <w:rsid w:val="009C664B"/>
    <w:rsid w:val="009C6CB2"/>
    <w:rsid w:val="009C7088"/>
    <w:rsid w:val="009D065E"/>
    <w:rsid w:val="009D26F4"/>
    <w:rsid w:val="009D2882"/>
    <w:rsid w:val="009D3DC8"/>
    <w:rsid w:val="009D4F36"/>
    <w:rsid w:val="009D5C55"/>
    <w:rsid w:val="009D799F"/>
    <w:rsid w:val="009E0DCD"/>
    <w:rsid w:val="009E1ED0"/>
    <w:rsid w:val="009E4B68"/>
    <w:rsid w:val="009E5786"/>
    <w:rsid w:val="009F1386"/>
    <w:rsid w:val="009F175F"/>
    <w:rsid w:val="009F43A9"/>
    <w:rsid w:val="00A002BA"/>
    <w:rsid w:val="00A00E7C"/>
    <w:rsid w:val="00A03014"/>
    <w:rsid w:val="00A036F9"/>
    <w:rsid w:val="00A04CA1"/>
    <w:rsid w:val="00A1253E"/>
    <w:rsid w:val="00A1461B"/>
    <w:rsid w:val="00A17D5D"/>
    <w:rsid w:val="00A204FD"/>
    <w:rsid w:val="00A22858"/>
    <w:rsid w:val="00A24710"/>
    <w:rsid w:val="00A25174"/>
    <w:rsid w:val="00A26B03"/>
    <w:rsid w:val="00A27A4E"/>
    <w:rsid w:val="00A30354"/>
    <w:rsid w:val="00A31037"/>
    <w:rsid w:val="00A3192F"/>
    <w:rsid w:val="00A33D35"/>
    <w:rsid w:val="00A33F37"/>
    <w:rsid w:val="00A36487"/>
    <w:rsid w:val="00A437C9"/>
    <w:rsid w:val="00A43C2E"/>
    <w:rsid w:val="00A44007"/>
    <w:rsid w:val="00A461D5"/>
    <w:rsid w:val="00A46740"/>
    <w:rsid w:val="00A46994"/>
    <w:rsid w:val="00A475FB"/>
    <w:rsid w:val="00A47946"/>
    <w:rsid w:val="00A53AC2"/>
    <w:rsid w:val="00A56251"/>
    <w:rsid w:val="00A56318"/>
    <w:rsid w:val="00A57F08"/>
    <w:rsid w:val="00A57F4F"/>
    <w:rsid w:val="00A62BBD"/>
    <w:rsid w:val="00A6366D"/>
    <w:rsid w:val="00A651F3"/>
    <w:rsid w:val="00A653DB"/>
    <w:rsid w:val="00A655AC"/>
    <w:rsid w:val="00A667DE"/>
    <w:rsid w:val="00A67A8B"/>
    <w:rsid w:val="00A67ADC"/>
    <w:rsid w:val="00A7163B"/>
    <w:rsid w:val="00A72245"/>
    <w:rsid w:val="00A81C24"/>
    <w:rsid w:val="00A82F37"/>
    <w:rsid w:val="00A846E7"/>
    <w:rsid w:val="00A84B7E"/>
    <w:rsid w:val="00A84D90"/>
    <w:rsid w:val="00A8669F"/>
    <w:rsid w:val="00A87482"/>
    <w:rsid w:val="00A92DCC"/>
    <w:rsid w:val="00A93A0D"/>
    <w:rsid w:val="00A93C41"/>
    <w:rsid w:val="00AA29E7"/>
    <w:rsid w:val="00AA2E6B"/>
    <w:rsid w:val="00AA78E1"/>
    <w:rsid w:val="00AB1791"/>
    <w:rsid w:val="00AB1D41"/>
    <w:rsid w:val="00AB1DEA"/>
    <w:rsid w:val="00AB309B"/>
    <w:rsid w:val="00AB3B53"/>
    <w:rsid w:val="00AB47AA"/>
    <w:rsid w:val="00AB6511"/>
    <w:rsid w:val="00AB6E23"/>
    <w:rsid w:val="00AD0478"/>
    <w:rsid w:val="00AD1862"/>
    <w:rsid w:val="00AD2B34"/>
    <w:rsid w:val="00AD4857"/>
    <w:rsid w:val="00AD60F5"/>
    <w:rsid w:val="00AD6808"/>
    <w:rsid w:val="00AE0634"/>
    <w:rsid w:val="00AE1B78"/>
    <w:rsid w:val="00AE2A34"/>
    <w:rsid w:val="00AE4229"/>
    <w:rsid w:val="00AE4D3E"/>
    <w:rsid w:val="00AE63C2"/>
    <w:rsid w:val="00AE7243"/>
    <w:rsid w:val="00AF0A77"/>
    <w:rsid w:val="00AF370B"/>
    <w:rsid w:val="00AF5190"/>
    <w:rsid w:val="00AF52A6"/>
    <w:rsid w:val="00AF58E4"/>
    <w:rsid w:val="00AF6710"/>
    <w:rsid w:val="00AF79F5"/>
    <w:rsid w:val="00B004B7"/>
    <w:rsid w:val="00B03320"/>
    <w:rsid w:val="00B0479F"/>
    <w:rsid w:val="00B0495B"/>
    <w:rsid w:val="00B078CE"/>
    <w:rsid w:val="00B114E4"/>
    <w:rsid w:val="00B114EB"/>
    <w:rsid w:val="00B142AC"/>
    <w:rsid w:val="00B162D0"/>
    <w:rsid w:val="00B1793F"/>
    <w:rsid w:val="00B17E52"/>
    <w:rsid w:val="00B25F77"/>
    <w:rsid w:val="00B267A5"/>
    <w:rsid w:val="00B27865"/>
    <w:rsid w:val="00B32540"/>
    <w:rsid w:val="00B325BE"/>
    <w:rsid w:val="00B32C98"/>
    <w:rsid w:val="00B348E9"/>
    <w:rsid w:val="00B35CA9"/>
    <w:rsid w:val="00B3701A"/>
    <w:rsid w:val="00B44296"/>
    <w:rsid w:val="00B447AC"/>
    <w:rsid w:val="00B44B0A"/>
    <w:rsid w:val="00B46A4F"/>
    <w:rsid w:val="00B47FD5"/>
    <w:rsid w:val="00B52A58"/>
    <w:rsid w:val="00B556B3"/>
    <w:rsid w:val="00B5637D"/>
    <w:rsid w:val="00B56DF6"/>
    <w:rsid w:val="00B57D0E"/>
    <w:rsid w:val="00B618D5"/>
    <w:rsid w:val="00B61A07"/>
    <w:rsid w:val="00B62613"/>
    <w:rsid w:val="00B7310B"/>
    <w:rsid w:val="00B73B5B"/>
    <w:rsid w:val="00B744F0"/>
    <w:rsid w:val="00B75595"/>
    <w:rsid w:val="00B776A6"/>
    <w:rsid w:val="00B84038"/>
    <w:rsid w:val="00B8790C"/>
    <w:rsid w:val="00B87B0A"/>
    <w:rsid w:val="00B90119"/>
    <w:rsid w:val="00B928D7"/>
    <w:rsid w:val="00B93BD0"/>
    <w:rsid w:val="00B93D02"/>
    <w:rsid w:val="00B955A5"/>
    <w:rsid w:val="00B95CF3"/>
    <w:rsid w:val="00B96D52"/>
    <w:rsid w:val="00BA1DF6"/>
    <w:rsid w:val="00BA2659"/>
    <w:rsid w:val="00BA3EFE"/>
    <w:rsid w:val="00BA482E"/>
    <w:rsid w:val="00BA6532"/>
    <w:rsid w:val="00BB2F0A"/>
    <w:rsid w:val="00BB3754"/>
    <w:rsid w:val="00BB7777"/>
    <w:rsid w:val="00BB7CCC"/>
    <w:rsid w:val="00BC2483"/>
    <w:rsid w:val="00BD08A7"/>
    <w:rsid w:val="00BD26BF"/>
    <w:rsid w:val="00BD69BE"/>
    <w:rsid w:val="00BD7D88"/>
    <w:rsid w:val="00BE006A"/>
    <w:rsid w:val="00BE23E6"/>
    <w:rsid w:val="00BE2A03"/>
    <w:rsid w:val="00BE6AA2"/>
    <w:rsid w:val="00BE73FC"/>
    <w:rsid w:val="00BE76D9"/>
    <w:rsid w:val="00BE76E1"/>
    <w:rsid w:val="00BE7F87"/>
    <w:rsid w:val="00BF0F8E"/>
    <w:rsid w:val="00BF23D4"/>
    <w:rsid w:val="00BF34A9"/>
    <w:rsid w:val="00BF3CD9"/>
    <w:rsid w:val="00BF3F17"/>
    <w:rsid w:val="00BF40A6"/>
    <w:rsid w:val="00BF5F3B"/>
    <w:rsid w:val="00BF708B"/>
    <w:rsid w:val="00BF7B6A"/>
    <w:rsid w:val="00BF7DDD"/>
    <w:rsid w:val="00C01AF2"/>
    <w:rsid w:val="00C03159"/>
    <w:rsid w:val="00C03EF8"/>
    <w:rsid w:val="00C050E4"/>
    <w:rsid w:val="00C07FC9"/>
    <w:rsid w:val="00C10BFF"/>
    <w:rsid w:val="00C11D1D"/>
    <w:rsid w:val="00C14E32"/>
    <w:rsid w:val="00C20E78"/>
    <w:rsid w:val="00C2189B"/>
    <w:rsid w:val="00C21B9F"/>
    <w:rsid w:val="00C21E2A"/>
    <w:rsid w:val="00C225EE"/>
    <w:rsid w:val="00C263A0"/>
    <w:rsid w:val="00C314B4"/>
    <w:rsid w:val="00C318C5"/>
    <w:rsid w:val="00C36A1F"/>
    <w:rsid w:val="00C4406D"/>
    <w:rsid w:val="00C467BE"/>
    <w:rsid w:val="00C526A7"/>
    <w:rsid w:val="00C535C8"/>
    <w:rsid w:val="00C5384F"/>
    <w:rsid w:val="00C5572F"/>
    <w:rsid w:val="00C55FFC"/>
    <w:rsid w:val="00C578ED"/>
    <w:rsid w:val="00C6125E"/>
    <w:rsid w:val="00C62311"/>
    <w:rsid w:val="00C70FE3"/>
    <w:rsid w:val="00C74F6A"/>
    <w:rsid w:val="00C7546E"/>
    <w:rsid w:val="00C76780"/>
    <w:rsid w:val="00C77E1C"/>
    <w:rsid w:val="00C82A1F"/>
    <w:rsid w:val="00C82F74"/>
    <w:rsid w:val="00C93209"/>
    <w:rsid w:val="00C94A10"/>
    <w:rsid w:val="00C9526D"/>
    <w:rsid w:val="00C9664C"/>
    <w:rsid w:val="00CA4C35"/>
    <w:rsid w:val="00CA5900"/>
    <w:rsid w:val="00CA592A"/>
    <w:rsid w:val="00CA666F"/>
    <w:rsid w:val="00CA70AB"/>
    <w:rsid w:val="00CB043E"/>
    <w:rsid w:val="00CB071C"/>
    <w:rsid w:val="00CB59C6"/>
    <w:rsid w:val="00CB5EA4"/>
    <w:rsid w:val="00CB7839"/>
    <w:rsid w:val="00CB7A3C"/>
    <w:rsid w:val="00CB7E95"/>
    <w:rsid w:val="00CC59AE"/>
    <w:rsid w:val="00CC5A58"/>
    <w:rsid w:val="00CC62AD"/>
    <w:rsid w:val="00CC749B"/>
    <w:rsid w:val="00CD0AE7"/>
    <w:rsid w:val="00CD32CD"/>
    <w:rsid w:val="00CD6159"/>
    <w:rsid w:val="00CD632C"/>
    <w:rsid w:val="00CD6715"/>
    <w:rsid w:val="00CD7ADF"/>
    <w:rsid w:val="00CE070D"/>
    <w:rsid w:val="00CE146E"/>
    <w:rsid w:val="00CE4AC6"/>
    <w:rsid w:val="00CE5AB0"/>
    <w:rsid w:val="00CF291F"/>
    <w:rsid w:val="00CF326A"/>
    <w:rsid w:val="00CF50EC"/>
    <w:rsid w:val="00CF6941"/>
    <w:rsid w:val="00CF6FBE"/>
    <w:rsid w:val="00CF76B7"/>
    <w:rsid w:val="00D01A8A"/>
    <w:rsid w:val="00D02C62"/>
    <w:rsid w:val="00D06564"/>
    <w:rsid w:val="00D116D9"/>
    <w:rsid w:val="00D16367"/>
    <w:rsid w:val="00D1646C"/>
    <w:rsid w:val="00D172C0"/>
    <w:rsid w:val="00D20266"/>
    <w:rsid w:val="00D243D4"/>
    <w:rsid w:val="00D30C95"/>
    <w:rsid w:val="00D30D27"/>
    <w:rsid w:val="00D31330"/>
    <w:rsid w:val="00D32563"/>
    <w:rsid w:val="00D32A88"/>
    <w:rsid w:val="00D33BDE"/>
    <w:rsid w:val="00D341B4"/>
    <w:rsid w:val="00D36956"/>
    <w:rsid w:val="00D3793F"/>
    <w:rsid w:val="00D404EE"/>
    <w:rsid w:val="00D405AD"/>
    <w:rsid w:val="00D5105D"/>
    <w:rsid w:val="00D527F1"/>
    <w:rsid w:val="00D52F33"/>
    <w:rsid w:val="00D538E2"/>
    <w:rsid w:val="00D577AF"/>
    <w:rsid w:val="00D61730"/>
    <w:rsid w:val="00D63532"/>
    <w:rsid w:val="00D63547"/>
    <w:rsid w:val="00D6355C"/>
    <w:rsid w:val="00D636DC"/>
    <w:rsid w:val="00D70D20"/>
    <w:rsid w:val="00D71DE9"/>
    <w:rsid w:val="00D72661"/>
    <w:rsid w:val="00D72B2F"/>
    <w:rsid w:val="00D7419B"/>
    <w:rsid w:val="00D746F4"/>
    <w:rsid w:val="00D76153"/>
    <w:rsid w:val="00D77C35"/>
    <w:rsid w:val="00D8184B"/>
    <w:rsid w:val="00D832F4"/>
    <w:rsid w:val="00D909FD"/>
    <w:rsid w:val="00D93139"/>
    <w:rsid w:val="00D93720"/>
    <w:rsid w:val="00D962FF"/>
    <w:rsid w:val="00DA3306"/>
    <w:rsid w:val="00DA3D21"/>
    <w:rsid w:val="00DA49C0"/>
    <w:rsid w:val="00DB2C3B"/>
    <w:rsid w:val="00DB43F3"/>
    <w:rsid w:val="00DB5935"/>
    <w:rsid w:val="00DB696D"/>
    <w:rsid w:val="00DC0E67"/>
    <w:rsid w:val="00DC1E93"/>
    <w:rsid w:val="00DC1FA5"/>
    <w:rsid w:val="00DC2D0E"/>
    <w:rsid w:val="00DC2EE1"/>
    <w:rsid w:val="00DC37F8"/>
    <w:rsid w:val="00DC5298"/>
    <w:rsid w:val="00DC52C9"/>
    <w:rsid w:val="00DC7008"/>
    <w:rsid w:val="00DC7D8D"/>
    <w:rsid w:val="00DD0639"/>
    <w:rsid w:val="00DD1102"/>
    <w:rsid w:val="00DD234E"/>
    <w:rsid w:val="00DD6E52"/>
    <w:rsid w:val="00DD7161"/>
    <w:rsid w:val="00DD7784"/>
    <w:rsid w:val="00DD7B7F"/>
    <w:rsid w:val="00DE034E"/>
    <w:rsid w:val="00DE42F8"/>
    <w:rsid w:val="00DE4797"/>
    <w:rsid w:val="00DE5F49"/>
    <w:rsid w:val="00DE6831"/>
    <w:rsid w:val="00DE7DC5"/>
    <w:rsid w:val="00DF1F60"/>
    <w:rsid w:val="00DF20C4"/>
    <w:rsid w:val="00DF65EB"/>
    <w:rsid w:val="00DF7D53"/>
    <w:rsid w:val="00E0066C"/>
    <w:rsid w:val="00E0335E"/>
    <w:rsid w:val="00E14BF8"/>
    <w:rsid w:val="00E15A9C"/>
    <w:rsid w:val="00E177D0"/>
    <w:rsid w:val="00E17961"/>
    <w:rsid w:val="00E17B47"/>
    <w:rsid w:val="00E2022F"/>
    <w:rsid w:val="00E2041B"/>
    <w:rsid w:val="00E21345"/>
    <w:rsid w:val="00E274B7"/>
    <w:rsid w:val="00E275AD"/>
    <w:rsid w:val="00E277AE"/>
    <w:rsid w:val="00E30514"/>
    <w:rsid w:val="00E3365D"/>
    <w:rsid w:val="00E35C24"/>
    <w:rsid w:val="00E36AD6"/>
    <w:rsid w:val="00E41D68"/>
    <w:rsid w:val="00E42549"/>
    <w:rsid w:val="00E45F4D"/>
    <w:rsid w:val="00E502F7"/>
    <w:rsid w:val="00E504E0"/>
    <w:rsid w:val="00E50E07"/>
    <w:rsid w:val="00E56D78"/>
    <w:rsid w:val="00E5764E"/>
    <w:rsid w:val="00E60A36"/>
    <w:rsid w:val="00E62A85"/>
    <w:rsid w:val="00E64FDB"/>
    <w:rsid w:val="00E6582B"/>
    <w:rsid w:val="00E76B2D"/>
    <w:rsid w:val="00E801F6"/>
    <w:rsid w:val="00E80770"/>
    <w:rsid w:val="00E81E6E"/>
    <w:rsid w:val="00E8201B"/>
    <w:rsid w:val="00E82024"/>
    <w:rsid w:val="00E847C3"/>
    <w:rsid w:val="00E852B1"/>
    <w:rsid w:val="00E86083"/>
    <w:rsid w:val="00E865E6"/>
    <w:rsid w:val="00E9258A"/>
    <w:rsid w:val="00E92699"/>
    <w:rsid w:val="00E940C6"/>
    <w:rsid w:val="00EA1863"/>
    <w:rsid w:val="00EA2F7A"/>
    <w:rsid w:val="00EA3547"/>
    <w:rsid w:val="00EA38B0"/>
    <w:rsid w:val="00EA4583"/>
    <w:rsid w:val="00EA4AA6"/>
    <w:rsid w:val="00EA619E"/>
    <w:rsid w:val="00EA7809"/>
    <w:rsid w:val="00EB019F"/>
    <w:rsid w:val="00EB088D"/>
    <w:rsid w:val="00EB0BA7"/>
    <w:rsid w:val="00EB1F79"/>
    <w:rsid w:val="00EB76FE"/>
    <w:rsid w:val="00EB7D37"/>
    <w:rsid w:val="00EC0305"/>
    <w:rsid w:val="00EC1802"/>
    <w:rsid w:val="00EC60F1"/>
    <w:rsid w:val="00EC6743"/>
    <w:rsid w:val="00EC686E"/>
    <w:rsid w:val="00EC795A"/>
    <w:rsid w:val="00ED009C"/>
    <w:rsid w:val="00ED08EA"/>
    <w:rsid w:val="00ED2FFA"/>
    <w:rsid w:val="00ED4802"/>
    <w:rsid w:val="00EE019F"/>
    <w:rsid w:val="00EE13D4"/>
    <w:rsid w:val="00EE2ECB"/>
    <w:rsid w:val="00EE3381"/>
    <w:rsid w:val="00EE3884"/>
    <w:rsid w:val="00EE4443"/>
    <w:rsid w:val="00EE4AD9"/>
    <w:rsid w:val="00EE4F46"/>
    <w:rsid w:val="00EE5F98"/>
    <w:rsid w:val="00EF0B15"/>
    <w:rsid w:val="00EF2CA4"/>
    <w:rsid w:val="00F00629"/>
    <w:rsid w:val="00F02183"/>
    <w:rsid w:val="00F078B0"/>
    <w:rsid w:val="00F1067A"/>
    <w:rsid w:val="00F10BD6"/>
    <w:rsid w:val="00F10DE2"/>
    <w:rsid w:val="00F10F13"/>
    <w:rsid w:val="00F135B7"/>
    <w:rsid w:val="00F136C3"/>
    <w:rsid w:val="00F13F5D"/>
    <w:rsid w:val="00F154D4"/>
    <w:rsid w:val="00F17CA1"/>
    <w:rsid w:val="00F20E15"/>
    <w:rsid w:val="00F223B0"/>
    <w:rsid w:val="00F24CD0"/>
    <w:rsid w:val="00F25B8F"/>
    <w:rsid w:val="00F26EC7"/>
    <w:rsid w:val="00F352FD"/>
    <w:rsid w:val="00F3622F"/>
    <w:rsid w:val="00F36E1E"/>
    <w:rsid w:val="00F3728F"/>
    <w:rsid w:val="00F377AF"/>
    <w:rsid w:val="00F4160A"/>
    <w:rsid w:val="00F42222"/>
    <w:rsid w:val="00F43654"/>
    <w:rsid w:val="00F43795"/>
    <w:rsid w:val="00F45FB0"/>
    <w:rsid w:val="00F471AA"/>
    <w:rsid w:val="00F509DD"/>
    <w:rsid w:val="00F517BC"/>
    <w:rsid w:val="00F51FAB"/>
    <w:rsid w:val="00F5240B"/>
    <w:rsid w:val="00F53869"/>
    <w:rsid w:val="00F53C44"/>
    <w:rsid w:val="00F553E4"/>
    <w:rsid w:val="00F55C8E"/>
    <w:rsid w:val="00F571A8"/>
    <w:rsid w:val="00F60ACB"/>
    <w:rsid w:val="00F60C13"/>
    <w:rsid w:val="00F61CCD"/>
    <w:rsid w:val="00F636EA"/>
    <w:rsid w:val="00F657DE"/>
    <w:rsid w:val="00F71237"/>
    <w:rsid w:val="00F8254A"/>
    <w:rsid w:val="00F833FB"/>
    <w:rsid w:val="00F83EA7"/>
    <w:rsid w:val="00F85A4F"/>
    <w:rsid w:val="00F87230"/>
    <w:rsid w:val="00F87F49"/>
    <w:rsid w:val="00F91025"/>
    <w:rsid w:val="00F94254"/>
    <w:rsid w:val="00F953B9"/>
    <w:rsid w:val="00F95B27"/>
    <w:rsid w:val="00F96C73"/>
    <w:rsid w:val="00F97931"/>
    <w:rsid w:val="00F97D9E"/>
    <w:rsid w:val="00FA017D"/>
    <w:rsid w:val="00FA1968"/>
    <w:rsid w:val="00FA7EC3"/>
    <w:rsid w:val="00FB1F7F"/>
    <w:rsid w:val="00FB3B44"/>
    <w:rsid w:val="00FB6391"/>
    <w:rsid w:val="00FC21CC"/>
    <w:rsid w:val="00FC4337"/>
    <w:rsid w:val="00FC7D0F"/>
    <w:rsid w:val="00FD070C"/>
    <w:rsid w:val="00FD11C5"/>
    <w:rsid w:val="00FD3AEF"/>
    <w:rsid w:val="00FE0148"/>
    <w:rsid w:val="00FE044E"/>
    <w:rsid w:val="00FE7434"/>
    <w:rsid w:val="00FF082A"/>
    <w:rsid w:val="00FF0F32"/>
    <w:rsid w:val="00FF4C4D"/>
    <w:rsid w:val="00FF7BB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18FD4"/>
  <w15:docId w15:val="{4125C0D4-062F-43E9-9926-BB749BF2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FB0"/>
    <w:pPr>
      <w:widowControl w:val="0"/>
      <w:autoSpaceDE w:val="0"/>
      <w:autoSpaceDN w:val="0"/>
      <w:adjustRightInd w:val="0"/>
      <w:jc w:val="both"/>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51A71"/>
    <w:rPr>
      <w:rFonts w:ascii="Tahoma" w:hAnsi="Tahoma" w:cs="Tahoma"/>
      <w:sz w:val="16"/>
      <w:szCs w:val="16"/>
    </w:rPr>
  </w:style>
  <w:style w:type="character" w:customStyle="1" w:styleId="TekstbaloniaChar">
    <w:name w:val="Tekst balončića Char"/>
    <w:basedOn w:val="Zadanifontodlomka"/>
    <w:link w:val="Tekstbalonia"/>
    <w:uiPriority w:val="99"/>
    <w:semiHidden/>
    <w:rsid w:val="00951A71"/>
    <w:rPr>
      <w:rFonts w:ascii="Tahoma" w:eastAsia="Times New Roman" w:hAnsi="Tahoma" w:cs="Tahoma"/>
      <w:sz w:val="16"/>
      <w:szCs w:val="16"/>
      <w:lang w:eastAsia="hr-HR"/>
    </w:rPr>
  </w:style>
  <w:style w:type="character" w:styleId="Hiperveza">
    <w:name w:val="Hyperlink"/>
    <w:basedOn w:val="Zadanifontodlomka"/>
    <w:uiPriority w:val="99"/>
    <w:unhideWhenUsed/>
    <w:rsid w:val="00536163"/>
    <w:rPr>
      <w:color w:val="0000FF" w:themeColor="hyperlink"/>
      <w:u w:val="single"/>
    </w:rPr>
  </w:style>
  <w:style w:type="paragraph" w:styleId="Odlomakpopisa">
    <w:name w:val="List Paragraph"/>
    <w:aliases w:val="Paragraph,List Paragraph Red,lp1"/>
    <w:basedOn w:val="Normal"/>
    <w:link w:val="OdlomakpopisaChar"/>
    <w:uiPriority w:val="34"/>
    <w:qFormat/>
    <w:rsid w:val="00FE0148"/>
    <w:pPr>
      <w:widowControl/>
      <w:autoSpaceDE/>
      <w:autoSpaceDN/>
      <w:adjustRightInd/>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OdlomakpopisaChar">
    <w:name w:val="Odlomak popisa Char"/>
    <w:aliases w:val="Paragraph Char,List Paragraph Red Char,lp1 Char"/>
    <w:link w:val="Odlomakpopisa"/>
    <w:uiPriority w:val="34"/>
    <w:locked/>
    <w:rsid w:val="00B25F77"/>
    <w:rPr>
      <w:rFonts w:asciiTheme="minorHAnsi" w:hAnsiTheme="minorHAnsi"/>
      <w:sz w:val="22"/>
    </w:rPr>
  </w:style>
  <w:style w:type="character" w:styleId="Referencakomentara">
    <w:name w:val="annotation reference"/>
    <w:basedOn w:val="Zadanifontodlomka"/>
    <w:uiPriority w:val="99"/>
    <w:semiHidden/>
    <w:unhideWhenUsed/>
    <w:rsid w:val="00C82A1F"/>
    <w:rPr>
      <w:sz w:val="16"/>
      <w:szCs w:val="16"/>
    </w:rPr>
  </w:style>
  <w:style w:type="paragraph" w:styleId="Tekstkomentara">
    <w:name w:val="annotation text"/>
    <w:aliases w:val="Char2,Comment Text Char Char Char Char Char,Comment Text Char Char Char Char,Comment Text Char Char Char,Comment Text Char Char Char1,Comment Text Char Char Char Char Char Ch, Char2"/>
    <w:basedOn w:val="Normal"/>
    <w:link w:val="TekstkomentaraChar"/>
    <w:uiPriority w:val="99"/>
    <w:unhideWhenUsed/>
    <w:rsid w:val="00C82A1F"/>
    <w:rPr>
      <w:sz w:val="20"/>
      <w:szCs w:val="20"/>
    </w:rPr>
  </w:style>
  <w:style w:type="character" w:customStyle="1" w:styleId="TekstkomentaraChar">
    <w:name w:val="Tekst komentara Char"/>
    <w:aliases w:val="Char2 Char,Comment Text Char Char Char Char Char Char,Comment Text Char Char Char Char Char1,Comment Text Char Char Char Char1,Comment Text Char Char Char1 Char,Comment Text Char Char Char Char Char Ch Char, Char2 Char"/>
    <w:basedOn w:val="Zadanifontodlomka"/>
    <w:link w:val="Tekstkomentara"/>
    <w:uiPriority w:val="99"/>
    <w:rsid w:val="00C82A1F"/>
    <w:rPr>
      <w:rFonts w:eastAsia="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C82A1F"/>
    <w:rPr>
      <w:b/>
      <w:bCs/>
    </w:rPr>
  </w:style>
  <w:style w:type="character" w:customStyle="1" w:styleId="PredmetkomentaraChar">
    <w:name w:val="Predmet komentara Char"/>
    <w:basedOn w:val="TekstkomentaraChar"/>
    <w:link w:val="Predmetkomentara"/>
    <w:uiPriority w:val="99"/>
    <w:semiHidden/>
    <w:rsid w:val="00C82A1F"/>
    <w:rPr>
      <w:rFonts w:eastAsia="Times New Roman" w:cs="Times New Roman"/>
      <w:b/>
      <w:bCs/>
      <w:sz w:val="20"/>
      <w:szCs w:val="20"/>
      <w:lang w:eastAsia="hr-HR"/>
    </w:rPr>
  </w:style>
  <w:style w:type="paragraph" w:customStyle="1" w:styleId="Default">
    <w:name w:val="Default"/>
    <w:rsid w:val="001B46C7"/>
    <w:pPr>
      <w:autoSpaceDE w:val="0"/>
      <w:autoSpaceDN w:val="0"/>
      <w:adjustRightInd w:val="0"/>
    </w:pPr>
    <w:rPr>
      <w:rFonts w:ascii="Times New Roman" w:hAnsi="Times New Roman" w:cs="Times New Roman"/>
      <w:color w:val="000000"/>
      <w:szCs w:val="24"/>
    </w:rPr>
  </w:style>
  <w:style w:type="paragraph" w:styleId="StandardWeb">
    <w:name w:val="Normal (Web)"/>
    <w:basedOn w:val="Normal"/>
    <w:link w:val="StandardWebChar"/>
    <w:uiPriority w:val="99"/>
    <w:unhideWhenUsed/>
    <w:rsid w:val="00094103"/>
    <w:pPr>
      <w:widowControl/>
      <w:autoSpaceDE/>
      <w:autoSpaceDN/>
      <w:adjustRightInd/>
      <w:spacing w:after="150"/>
      <w:jc w:val="left"/>
    </w:pPr>
    <w:rPr>
      <w:rFonts w:ascii="Times New Roman" w:hAnsi="Times New Roman"/>
      <w:lang w:val="en-US" w:eastAsia="en-US"/>
    </w:rPr>
  </w:style>
  <w:style w:type="character" w:customStyle="1" w:styleId="StandardWebChar">
    <w:name w:val="Standard (Web) Char"/>
    <w:basedOn w:val="Zadanifontodlomka"/>
    <w:link w:val="StandardWeb"/>
    <w:uiPriority w:val="99"/>
    <w:rsid w:val="00094103"/>
    <w:rPr>
      <w:rFonts w:ascii="Times New Roman" w:eastAsia="Times New Roman" w:hAnsi="Times New Roman" w:cs="Times New Roman"/>
      <w:szCs w:val="24"/>
      <w:lang w:val="en-US"/>
    </w:rPr>
  </w:style>
  <w:style w:type="paragraph" w:styleId="Zaglavlje">
    <w:name w:val="header"/>
    <w:basedOn w:val="Normal"/>
    <w:link w:val="ZaglavljeChar"/>
    <w:uiPriority w:val="99"/>
    <w:unhideWhenUsed/>
    <w:rsid w:val="00952B63"/>
    <w:pPr>
      <w:tabs>
        <w:tab w:val="center" w:pos="4536"/>
        <w:tab w:val="right" w:pos="9072"/>
      </w:tabs>
    </w:pPr>
  </w:style>
  <w:style w:type="character" w:customStyle="1" w:styleId="ZaglavljeChar">
    <w:name w:val="Zaglavlje Char"/>
    <w:basedOn w:val="Zadanifontodlomka"/>
    <w:link w:val="Zaglavlje"/>
    <w:uiPriority w:val="99"/>
    <w:rsid w:val="00952B63"/>
    <w:rPr>
      <w:rFonts w:eastAsia="Times New Roman" w:cs="Times New Roman"/>
      <w:szCs w:val="24"/>
      <w:lang w:eastAsia="hr-HR"/>
    </w:rPr>
  </w:style>
  <w:style w:type="paragraph" w:styleId="Podnoje">
    <w:name w:val="footer"/>
    <w:basedOn w:val="Normal"/>
    <w:link w:val="PodnojeChar"/>
    <w:uiPriority w:val="99"/>
    <w:unhideWhenUsed/>
    <w:rsid w:val="00952B63"/>
    <w:pPr>
      <w:tabs>
        <w:tab w:val="center" w:pos="4536"/>
        <w:tab w:val="right" w:pos="9072"/>
      </w:tabs>
    </w:pPr>
  </w:style>
  <w:style w:type="character" w:customStyle="1" w:styleId="PodnojeChar">
    <w:name w:val="Podnožje Char"/>
    <w:basedOn w:val="Zadanifontodlomka"/>
    <w:link w:val="Podnoje"/>
    <w:uiPriority w:val="99"/>
    <w:rsid w:val="00952B63"/>
    <w:rPr>
      <w:rFonts w:eastAsia="Times New Roman" w:cs="Times New Roman"/>
      <w:szCs w:val="24"/>
      <w:lang w:eastAsia="hr-HR"/>
    </w:rPr>
  </w:style>
  <w:style w:type="paragraph" w:styleId="Naslov">
    <w:name w:val="Title"/>
    <w:basedOn w:val="Normal"/>
    <w:next w:val="Normal"/>
    <w:link w:val="NaslovChar"/>
    <w:qFormat/>
    <w:rsid w:val="001C2CDA"/>
    <w:pPr>
      <w:jc w:val="left"/>
      <w:outlineLvl w:val="0"/>
    </w:pPr>
    <w:rPr>
      <w:bCs/>
      <w:noProof/>
      <w:kern w:val="28"/>
    </w:rPr>
  </w:style>
  <w:style w:type="character" w:customStyle="1" w:styleId="NaslovChar">
    <w:name w:val="Naslov Char"/>
    <w:basedOn w:val="Zadanifontodlomka"/>
    <w:link w:val="Naslov"/>
    <w:rsid w:val="001C2CDA"/>
    <w:rPr>
      <w:rFonts w:eastAsia="Times New Roman" w:cs="Times New Roman"/>
      <w:bCs/>
      <w:noProof/>
      <w:kern w:val="28"/>
      <w:szCs w:val="24"/>
      <w:lang w:eastAsia="hr-HR"/>
    </w:rPr>
  </w:style>
  <w:style w:type="paragraph" w:styleId="Obinitekst">
    <w:name w:val="Plain Text"/>
    <w:basedOn w:val="Normal"/>
    <w:link w:val="ObinitekstChar"/>
    <w:uiPriority w:val="99"/>
    <w:semiHidden/>
    <w:unhideWhenUsed/>
    <w:rsid w:val="00C5572F"/>
    <w:pPr>
      <w:widowControl/>
      <w:autoSpaceDE/>
      <w:autoSpaceDN/>
      <w:adjustRightInd/>
      <w:jc w:val="left"/>
    </w:pPr>
    <w:rPr>
      <w:rFonts w:ascii="Calibri" w:eastAsiaTheme="minorHAnsi" w:hAnsi="Calibri" w:cstheme="minorBidi"/>
      <w:sz w:val="22"/>
      <w:szCs w:val="21"/>
      <w:lang w:eastAsia="en-US"/>
    </w:rPr>
  </w:style>
  <w:style w:type="character" w:customStyle="1" w:styleId="ObinitekstChar">
    <w:name w:val="Obični tekst Char"/>
    <w:basedOn w:val="Zadanifontodlomka"/>
    <w:link w:val="Obinitekst"/>
    <w:uiPriority w:val="99"/>
    <w:semiHidden/>
    <w:rsid w:val="00C5572F"/>
    <w:rPr>
      <w:rFonts w:ascii="Calibri" w:hAnsi="Calibri"/>
      <w:sz w:val="22"/>
      <w:szCs w:val="21"/>
    </w:rPr>
  </w:style>
  <w:style w:type="paragraph" w:styleId="Tijeloteksta">
    <w:name w:val="Body Text"/>
    <w:basedOn w:val="Normal"/>
    <w:link w:val="TijelotekstaChar"/>
    <w:uiPriority w:val="1"/>
    <w:qFormat/>
    <w:rsid w:val="00F61CCD"/>
    <w:pPr>
      <w:jc w:val="left"/>
    </w:pPr>
    <w:rPr>
      <w:rFonts w:ascii="Bookman Old Style" w:eastAsiaTheme="minorEastAsia" w:hAnsi="Bookman Old Style" w:cs="Bookman Old Style"/>
    </w:rPr>
  </w:style>
  <w:style w:type="character" w:customStyle="1" w:styleId="TijelotekstaChar">
    <w:name w:val="Tijelo teksta Char"/>
    <w:basedOn w:val="Zadanifontodlomka"/>
    <w:link w:val="Tijeloteksta"/>
    <w:uiPriority w:val="1"/>
    <w:rsid w:val="00F61CCD"/>
    <w:rPr>
      <w:rFonts w:ascii="Bookman Old Style" w:eastAsiaTheme="minorEastAsia" w:hAnsi="Bookman Old Style" w:cs="Bookman Old Style"/>
      <w:szCs w:val="24"/>
      <w:lang w:eastAsia="hr-HR"/>
    </w:rPr>
  </w:style>
  <w:style w:type="paragraph" w:customStyle="1" w:styleId="StilBulletCrtica">
    <w:name w:val="StilBulletCrtica"/>
    <w:basedOn w:val="Odlomakpopisa"/>
    <w:next w:val="Normal"/>
    <w:link w:val="StilBulletCrticaChar"/>
    <w:qFormat/>
    <w:rsid w:val="00F61CCD"/>
    <w:pPr>
      <w:numPr>
        <w:numId w:val="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verflowPunct w:val="0"/>
      <w:autoSpaceDE w:val="0"/>
      <w:autoSpaceDN w:val="0"/>
      <w:adjustRightInd w:val="0"/>
      <w:spacing w:after="0" w:line="240" w:lineRule="auto"/>
      <w:ind w:left="1134" w:hanging="567"/>
      <w:jc w:val="both"/>
      <w:textAlignment w:val="baseline"/>
    </w:pPr>
    <w:rPr>
      <w:rFonts w:ascii="Arial" w:eastAsia="Times New Roman" w:hAnsi="Arial" w:cs="Times New Roman"/>
      <w:sz w:val="24"/>
      <w:szCs w:val="20"/>
      <w:lang w:eastAsia="hr-HR"/>
    </w:rPr>
  </w:style>
  <w:style w:type="character" w:customStyle="1" w:styleId="StilBulletCrticaChar">
    <w:name w:val="StilBulletCrtica Char"/>
    <w:link w:val="StilBulletCrtica"/>
    <w:rsid w:val="00F61CCD"/>
    <w:rPr>
      <w:rFonts w:eastAsia="Times New Roman" w:cs="Times New Roman"/>
      <w:szCs w:val="20"/>
      <w:lang w:eastAsia="hr-HR"/>
    </w:rPr>
  </w:style>
  <w:style w:type="table" w:styleId="Reetkatablice">
    <w:name w:val="Table Grid"/>
    <w:basedOn w:val="Obinatablica"/>
    <w:rsid w:val="00A437C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AE7243"/>
    <w:rPr>
      <w:rFonts w:eastAsia="Times New Roman" w:cs="Times New Roman"/>
      <w:szCs w:val="24"/>
      <w:lang w:eastAsia="hr-HR"/>
    </w:rPr>
  </w:style>
  <w:style w:type="character" w:styleId="SlijeenaHiperveza">
    <w:name w:val="FollowedHyperlink"/>
    <w:basedOn w:val="Zadanifontodlomka"/>
    <w:uiPriority w:val="99"/>
    <w:semiHidden/>
    <w:unhideWhenUsed/>
    <w:rsid w:val="00964431"/>
    <w:rPr>
      <w:color w:val="800080" w:themeColor="followedHyperlink"/>
      <w:u w:val="single"/>
    </w:rPr>
  </w:style>
  <w:style w:type="paragraph" w:styleId="Tekstfusnote">
    <w:name w:val="footnote text"/>
    <w:basedOn w:val="Normal"/>
    <w:link w:val="TekstfusnoteChar"/>
    <w:uiPriority w:val="99"/>
    <w:semiHidden/>
    <w:unhideWhenUsed/>
    <w:rsid w:val="005C74BD"/>
    <w:rPr>
      <w:sz w:val="20"/>
      <w:szCs w:val="20"/>
    </w:rPr>
  </w:style>
  <w:style w:type="character" w:customStyle="1" w:styleId="TekstfusnoteChar">
    <w:name w:val="Tekst fusnote Char"/>
    <w:basedOn w:val="Zadanifontodlomka"/>
    <w:link w:val="Tekstfusnote"/>
    <w:uiPriority w:val="99"/>
    <w:semiHidden/>
    <w:rsid w:val="005C74BD"/>
    <w:rPr>
      <w:rFonts w:eastAsia="Times New Roman" w:cs="Times New Roman"/>
      <w:sz w:val="20"/>
      <w:szCs w:val="20"/>
      <w:lang w:eastAsia="hr-HR"/>
    </w:rPr>
  </w:style>
  <w:style w:type="character" w:styleId="Referencafusnote">
    <w:name w:val="footnote reference"/>
    <w:aliases w:val="BVI fnr,ftref,BVI fnr Car Car,BVI fnr Car,BVI fnr Car Car Car Car,BVI fnr Car Car Car Car Char,stylish, BVI fnr, BVI fnr Car Car, BVI fnr Car Car Car Car, BVI fnr Car Car Car Car Char,BVI fnr Car Char1 Char,BVI fnr Car Car Char1 Char"/>
    <w:basedOn w:val="Zadanifontodlomka"/>
    <w:uiPriority w:val="99"/>
    <w:unhideWhenUsed/>
    <w:qFormat/>
    <w:rsid w:val="005C74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5707">
      <w:bodyDiv w:val="1"/>
      <w:marLeft w:val="0"/>
      <w:marRight w:val="0"/>
      <w:marTop w:val="0"/>
      <w:marBottom w:val="0"/>
      <w:divBdr>
        <w:top w:val="none" w:sz="0" w:space="0" w:color="auto"/>
        <w:left w:val="none" w:sz="0" w:space="0" w:color="auto"/>
        <w:bottom w:val="none" w:sz="0" w:space="0" w:color="auto"/>
        <w:right w:val="none" w:sz="0" w:space="0" w:color="auto"/>
      </w:divBdr>
    </w:div>
    <w:div w:id="105392035">
      <w:bodyDiv w:val="1"/>
      <w:marLeft w:val="0"/>
      <w:marRight w:val="0"/>
      <w:marTop w:val="0"/>
      <w:marBottom w:val="0"/>
      <w:divBdr>
        <w:top w:val="none" w:sz="0" w:space="0" w:color="auto"/>
        <w:left w:val="none" w:sz="0" w:space="0" w:color="auto"/>
        <w:bottom w:val="none" w:sz="0" w:space="0" w:color="auto"/>
        <w:right w:val="none" w:sz="0" w:space="0" w:color="auto"/>
      </w:divBdr>
    </w:div>
    <w:div w:id="357394557">
      <w:bodyDiv w:val="1"/>
      <w:marLeft w:val="0"/>
      <w:marRight w:val="0"/>
      <w:marTop w:val="0"/>
      <w:marBottom w:val="0"/>
      <w:divBdr>
        <w:top w:val="none" w:sz="0" w:space="0" w:color="auto"/>
        <w:left w:val="none" w:sz="0" w:space="0" w:color="auto"/>
        <w:bottom w:val="none" w:sz="0" w:space="0" w:color="auto"/>
        <w:right w:val="none" w:sz="0" w:space="0" w:color="auto"/>
      </w:divBdr>
    </w:div>
    <w:div w:id="578907380">
      <w:bodyDiv w:val="1"/>
      <w:marLeft w:val="0"/>
      <w:marRight w:val="0"/>
      <w:marTop w:val="0"/>
      <w:marBottom w:val="0"/>
      <w:divBdr>
        <w:top w:val="none" w:sz="0" w:space="0" w:color="auto"/>
        <w:left w:val="none" w:sz="0" w:space="0" w:color="auto"/>
        <w:bottom w:val="none" w:sz="0" w:space="0" w:color="auto"/>
        <w:right w:val="none" w:sz="0" w:space="0" w:color="auto"/>
      </w:divBdr>
    </w:div>
    <w:div w:id="712731425">
      <w:bodyDiv w:val="1"/>
      <w:marLeft w:val="0"/>
      <w:marRight w:val="0"/>
      <w:marTop w:val="0"/>
      <w:marBottom w:val="0"/>
      <w:divBdr>
        <w:top w:val="none" w:sz="0" w:space="0" w:color="auto"/>
        <w:left w:val="none" w:sz="0" w:space="0" w:color="auto"/>
        <w:bottom w:val="none" w:sz="0" w:space="0" w:color="auto"/>
        <w:right w:val="none" w:sz="0" w:space="0" w:color="auto"/>
      </w:divBdr>
    </w:div>
    <w:div w:id="1210146158">
      <w:bodyDiv w:val="1"/>
      <w:marLeft w:val="0"/>
      <w:marRight w:val="0"/>
      <w:marTop w:val="0"/>
      <w:marBottom w:val="0"/>
      <w:divBdr>
        <w:top w:val="none" w:sz="0" w:space="0" w:color="auto"/>
        <w:left w:val="none" w:sz="0" w:space="0" w:color="auto"/>
        <w:bottom w:val="none" w:sz="0" w:space="0" w:color="auto"/>
        <w:right w:val="none" w:sz="0" w:space="0" w:color="auto"/>
      </w:divBdr>
    </w:div>
    <w:div w:id="1213276495">
      <w:bodyDiv w:val="1"/>
      <w:marLeft w:val="0"/>
      <w:marRight w:val="0"/>
      <w:marTop w:val="0"/>
      <w:marBottom w:val="0"/>
      <w:divBdr>
        <w:top w:val="none" w:sz="0" w:space="0" w:color="auto"/>
        <w:left w:val="none" w:sz="0" w:space="0" w:color="auto"/>
        <w:bottom w:val="none" w:sz="0" w:space="0" w:color="auto"/>
        <w:right w:val="none" w:sz="0" w:space="0" w:color="auto"/>
      </w:divBdr>
    </w:div>
    <w:div w:id="1277443295">
      <w:bodyDiv w:val="1"/>
      <w:marLeft w:val="0"/>
      <w:marRight w:val="0"/>
      <w:marTop w:val="0"/>
      <w:marBottom w:val="0"/>
      <w:divBdr>
        <w:top w:val="none" w:sz="0" w:space="0" w:color="auto"/>
        <w:left w:val="none" w:sz="0" w:space="0" w:color="auto"/>
        <w:bottom w:val="none" w:sz="0" w:space="0" w:color="auto"/>
        <w:right w:val="none" w:sz="0" w:space="0" w:color="auto"/>
      </w:divBdr>
    </w:div>
    <w:div w:id="1577936832">
      <w:bodyDiv w:val="1"/>
      <w:marLeft w:val="0"/>
      <w:marRight w:val="0"/>
      <w:marTop w:val="0"/>
      <w:marBottom w:val="0"/>
      <w:divBdr>
        <w:top w:val="none" w:sz="0" w:space="0" w:color="auto"/>
        <w:left w:val="none" w:sz="0" w:space="0" w:color="auto"/>
        <w:bottom w:val="none" w:sz="0" w:space="0" w:color="auto"/>
        <w:right w:val="none" w:sz="0" w:space="0" w:color="auto"/>
      </w:divBdr>
    </w:div>
    <w:div w:id="1649356127">
      <w:bodyDiv w:val="1"/>
      <w:marLeft w:val="0"/>
      <w:marRight w:val="0"/>
      <w:marTop w:val="0"/>
      <w:marBottom w:val="0"/>
      <w:divBdr>
        <w:top w:val="none" w:sz="0" w:space="0" w:color="auto"/>
        <w:left w:val="none" w:sz="0" w:space="0" w:color="auto"/>
        <w:bottom w:val="none" w:sz="0" w:space="0" w:color="auto"/>
        <w:right w:val="none" w:sz="0" w:space="0" w:color="auto"/>
      </w:divBdr>
    </w:div>
    <w:div w:id="1724980458">
      <w:bodyDiv w:val="1"/>
      <w:marLeft w:val="0"/>
      <w:marRight w:val="0"/>
      <w:marTop w:val="0"/>
      <w:marBottom w:val="0"/>
      <w:divBdr>
        <w:top w:val="none" w:sz="0" w:space="0" w:color="auto"/>
        <w:left w:val="none" w:sz="0" w:space="0" w:color="auto"/>
        <w:bottom w:val="none" w:sz="0" w:space="0" w:color="auto"/>
        <w:right w:val="none" w:sz="0" w:space="0" w:color="auto"/>
      </w:divBdr>
    </w:div>
    <w:div w:id="203646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sipa.marakovic@revizija.hr" TargetMode="External"/><Relationship Id="rId5" Type="http://schemas.openxmlformats.org/officeDocument/2006/relationships/webSettings" Target="webSettings.xml"/><Relationship Id="rId10" Type="http://schemas.openxmlformats.org/officeDocument/2006/relationships/hyperlink" Target="http://www.revizija.hr" TargetMode="External"/><Relationship Id="rId4" Type="http://schemas.openxmlformats.org/officeDocument/2006/relationships/settings" Target="settings.xml"/><Relationship Id="rId9" Type="http://schemas.openxmlformats.org/officeDocument/2006/relationships/hyperlink" Target="http://www.revizija.hr"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evizija.hr/za-medije/priopcenja/2849"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A1FFE-4DB0-4D15-B7D8-847056A6B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8718</Words>
  <Characters>49695</Characters>
  <Application>Microsoft Office Word</Application>
  <DocSecurity>0</DocSecurity>
  <Lines>414</Lines>
  <Paragraphs>116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Josipa Maraković (via Google Docs)</dc:creator>
  <cp:lastModifiedBy>Josipa Maraković</cp:lastModifiedBy>
  <cp:revision>2</cp:revision>
  <cp:lastPrinted>2026-03-27T13:18:00Z</cp:lastPrinted>
  <dcterms:created xsi:type="dcterms:W3CDTF">2026-03-31T14:44:00Z</dcterms:created>
  <dcterms:modified xsi:type="dcterms:W3CDTF">2026-03-31T14:44:00Z</dcterms:modified>
</cp:coreProperties>
</file>